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39" w:rsidRPr="00AC2439" w:rsidRDefault="00AC2439" w:rsidP="00AC2439">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Senato </w:t>
      </w:r>
      <w:proofErr w:type="gramStart"/>
      <w:r>
        <w:rPr>
          <w:rFonts w:ascii="Times New Roman" w:hAnsi="Times New Roman" w:cs="Times New Roman"/>
          <w:b/>
          <w:bCs/>
          <w:sz w:val="24"/>
          <w:szCs w:val="24"/>
        </w:rPr>
        <w:t>Tarihi : 14</w:t>
      </w:r>
      <w:proofErr w:type="gramEnd"/>
      <w:r>
        <w:rPr>
          <w:rFonts w:ascii="Times New Roman" w:hAnsi="Times New Roman" w:cs="Times New Roman"/>
          <w:b/>
          <w:bCs/>
          <w:sz w:val="24"/>
          <w:szCs w:val="24"/>
        </w:rPr>
        <w:t>.02</w:t>
      </w:r>
      <w:r w:rsidRPr="00AC2439">
        <w:rPr>
          <w:rFonts w:ascii="Times New Roman" w:hAnsi="Times New Roman" w:cs="Times New Roman"/>
          <w:b/>
          <w:bCs/>
          <w:sz w:val="24"/>
          <w:szCs w:val="24"/>
        </w:rPr>
        <w:t>.2024</w:t>
      </w:r>
    </w:p>
    <w:p w:rsidR="007F5C4E" w:rsidRDefault="00AC2439" w:rsidP="00AC2439">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Karar No</w:t>
      </w:r>
      <w:r w:rsidRPr="00AC2439">
        <w:rPr>
          <w:rFonts w:ascii="Times New Roman" w:hAnsi="Times New Roman" w:cs="Times New Roman"/>
          <w:b/>
          <w:bCs/>
          <w:sz w:val="24"/>
          <w:szCs w:val="24"/>
        </w:rPr>
        <w:t xml:space="preserve">: </w:t>
      </w:r>
      <w:r>
        <w:rPr>
          <w:rFonts w:ascii="Times New Roman" w:hAnsi="Times New Roman" w:cs="Times New Roman"/>
          <w:b/>
          <w:sz w:val="24"/>
          <w:szCs w:val="24"/>
        </w:rPr>
        <w:t>05/02</w:t>
      </w:r>
    </w:p>
    <w:p w:rsidR="00AC2439" w:rsidRPr="00343F4E" w:rsidRDefault="00AC2439" w:rsidP="00AC2439">
      <w:pPr>
        <w:spacing w:after="0" w:line="240" w:lineRule="auto"/>
        <w:ind w:firstLine="708"/>
        <w:jc w:val="both"/>
        <w:rPr>
          <w:rFonts w:ascii="Times New Roman" w:hAnsi="Times New Roman" w:cs="Times New Roman"/>
          <w:b/>
          <w:bCs/>
          <w:sz w:val="24"/>
          <w:szCs w:val="24"/>
        </w:rPr>
      </w:pPr>
    </w:p>
    <w:p w:rsidR="007F5C4E" w:rsidRDefault="007F5C4E" w:rsidP="007F5C4E">
      <w:pPr>
        <w:pStyle w:val="AralkYok"/>
        <w:jc w:val="center"/>
        <w:rPr>
          <w:rFonts w:ascii="Times New Roman" w:hAnsi="Times New Roman"/>
          <w:b/>
          <w:sz w:val="24"/>
          <w:szCs w:val="24"/>
        </w:rPr>
      </w:pPr>
      <w:r>
        <w:rPr>
          <w:rFonts w:ascii="Times New Roman" w:hAnsi="Times New Roman"/>
          <w:b/>
          <w:sz w:val="24"/>
          <w:szCs w:val="24"/>
        </w:rPr>
        <w:t>KIRIKKALE ÜNİVERSİTESİ</w:t>
      </w:r>
    </w:p>
    <w:p w:rsidR="007F5C4E" w:rsidRDefault="007F5C4E" w:rsidP="007F5C4E">
      <w:pPr>
        <w:pStyle w:val="AralkYok"/>
        <w:jc w:val="center"/>
        <w:rPr>
          <w:rFonts w:ascii="Times New Roman" w:hAnsi="Times New Roman"/>
          <w:b/>
          <w:sz w:val="24"/>
          <w:szCs w:val="24"/>
        </w:rPr>
      </w:pPr>
      <w:r>
        <w:rPr>
          <w:rFonts w:ascii="Times New Roman" w:hAnsi="Times New Roman"/>
          <w:b/>
          <w:sz w:val="24"/>
          <w:szCs w:val="24"/>
        </w:rPr>
        <w:t>VETERİNER FAKÜLTESİ</w:t>
      </w:r>
    </w:p>
    <w:p w:rsidR="007F5C4E" w:rsidRDefault="007F5C4E" w:rsidP="007F5C4E">
      <w:pPr>
        <w:pStyle w:val="AralkYok"/>
        <w:jc w:val="center"/>
        <w:rPr>
          <w:rFonts w:ascii="Times New Roman" w:hAnsi="Times New Roman"/>
          <w:b/>
          <w:sz w:val="24"/>
          <w:szCs w:val="24"/>
        </w:rPr>
      </w:pPr>
      <w:r w:rsidRPr="00343F4E">
        <w:rPr>
          <w:rFonts w:ascii="Times New Roman" w:hAnsi="Times New Roman"/>
          <w:b/>
          <w:sz w:val="24"/>
          <w:szCs w:val="24"/>
        </w:rPr>
        <w:t>VETERİNER HEKİMLİĞİ İNTÖRN PROGRAMI (VEHİP)</w:t>
      </w:r>
      <w:r>
        <w:rPr>
          <w:rFonts w:ascii="Times New Roman" w:hAnsi="Times New Roman"/>
          <w:b/>
          <w:sz w:val="24"/>
          <w:szCs w:val="24"/>
        </w:rPr>
        <w:t xml:space="preserve"> YÖNERGESİ</w:t>
      </w:r>
    </w:p>
    <w:p w:rsidR="007F5C4E" w:rsidRDefault="007F5C4E" w:rsidP="007F5C4E">
      <w:pPr>
        <w:pStyle w:val="AralkYok"/>
        <w:jc w:val="center"/>
        <w:rPr>
          <w:rFonts w:ascii="Times New Roman" w:hAnsi="Times New Roman"/>
          <w:b/>
          <w:sz w:val="24"/>
          <w:szCs w:val="24"/>
        </w:rPr>
      </w:pPr>
    </w:p>
    <w:p w:rsidR="007F5C4E" w:rsidRDefault="007F5C4E" w:rsidP="007F5C4E">
      <w:pPr>
        <w:pStyle w:val="AralkYok"/>
        <w:jc w:val="center"/>
        <w:rPr>
          <w:rFonts w:ascii="Times New Roman" w:hAnsi="Times New Roman"/>
          <w:b/>
          <w:sz w:val="24"/>
          <w:szCs w:val="24"/>
        </w:rPr>
      </w:pPr>
      <w:r>
        <w:rPr>
          <w:rFonts w:ascii="Times New Roman" w:hAnsi="Times New Roman"/>
          <w:b/>
          <w:sz w:val="24"/>
          <w:szCs w:val="24"/>
        </w:rPr>
        <w:t>BİRİNCİ BÖLÜM</w:t>
      </w:r>
    </w:p>
    <w:p w:rsidR="007F5C4E" w:rsidRPr="00605C66" w:rsidRDefault="007F5C4E" w:rsidP="007F5C4E">
      <w:pPr>
        <w:pStyle w:val="AralkYok"/>
        <w:jc w:val="center"/>
        <w:rPr>
          <w:rFonts w:ascii="Times New Roman" w:hAnsi="Times New Roman"/>
          <w:b/>
          <w:sz w:val="24"/>
          <w:szCs w:val="24"/>
        </w:rPr>
      </w:pPr>
      <w:r>
        <w:rPr>
          <w:rFonts w:ascii="Times New Roman" w:hAnsi="Times New Roman"/>
          <w:b/>
          <w:sz w:val="24"/>
          <w:szCs w:val="24"/>
        </w:rPr>
        <w:t>Amaç ve Kapsam, Dayanak, Tanımlar</w:t>
      </w:r>
    </w:p>
    <w:p w:rsidR="007F5C4E" w:rsidRPr="00477320" w:rsidRDefault="007F5C4E" w:rsidP="007F5C4E">
      <w:pPr>
        <w:spacing w:after="0" w:line="240" w:lineRule="auto"/>
        <w:jc w:val="both"/>
        <w:rPr>
          <w:rFonts w:ascii="Times New Roman" w:eastAsia="Calibri" w:hAnsi="Times New Roman" w:cs="Times New Roman"/>
          <w:b/>
          <w:sz w:val="24"/>
          <w:szCs w:val="24"/>
        </w:rPr>
      </w:pPr>
      <w:r w:rsidRPr="00477320">
        <w:rPr>
          <w:rFonts w:ascii="Times New Roman" w:eastAsia="Calibri" w:hAnsi="Times New Roman" w:cs="Times New Roman"/>
          <w:b/>
          <w:sz w:val="24"/>
          <w:szCs w:val="24"/>
        </w:rPr>
        <w:t xml:space="preserve">Amaç </w:t>
      </w:r>
    </w:p>
    <w:p w:rsidR="007F5C4E" w:rsidRPr="006759D7" w:rsidRDefault="007F5C4E" w:rsidP="007F5C4E">
      <w:pPr>
        <w:pStyle w:val="NormalWeb"/>
        <w:rPr>
          <w:rFonts w:eastAsia="Calibri"/>
        </w:rPr>
      </w:pPr>
      <w:r w:rsidRPr="00477320">
        <w:rPr>
          <w:rFonts w:eastAsia="Calibri"/>
          <w:b/>
        </w:rPr>
        <w:t xml:space="preserve">MADDE 1 – – </w:t>
      </w:r>
      <w:r w:rsidRPr="006759D7">
        <w:rPr>
          <w:rFonts w:eastAsia="Calibri"/>
        </w:rPr>
        <w:t>Bu Yönergenin amacı;</w:t>
      </w:r>
      <w:r w:rsidRPr="006759D7">
        <w:rPr>
          <w:rFonts w:eastAsia="Calibri"/>
          <w:b/>
        </w:rPr>
        <w:t xml:space="preserve"> </w:t>
      </w:r>
      <w:r w:rsidRPr="006759D7">
        <w:rPr>
          <w:rFonts w:eastAsia="Calibri"/>
        </w:rPr>
        <w:t xml:space="preserve">Kırıkkale Üniversitesi Veteriner Fakültesi lisans eğitiminin </w:t>
      </w:r>
      <w:r w:rsidRPr="006759D7">
        <w:rPr>
          <w:rFonts w:eastAsia="Calibri"/>
          <w:bCs/>
        </w:rPr>
        <w:t>10’uncu</w:t>
      </w:r>
      <w:r w:rsidRPr="006759D7">
        <w:rPr>
          <w:rFonts w:eastAsia="Calibri"/>
        </w:rPr>
        <w:t xml:space="preserve"> yarıyılında verilen </w:t>
      </w:r>
      <w:proofErr w:type="spellStart"/>
      <w:r w:rsidRPr="006759D7">
        <w:rPr>
          <w:rFonts w:eastAsia="Calibri"/>
        </w:rPr>
        <w:t>intörn</w:t>
      </w:r>
      <w:proofErr w:type="spellEnd"/>
      <w:r w:rsidRPr="006759D7">
        <w:rPr>
          <w:rFonts w:eastAsia="Calibri"/>
        </w:rPr>
        <w:t xml:space="preserve"> eğitim programının, Veteriner Hekimlik Ulusal Çekirdek Eğitim Programı (VUÇEP) ile Fakültenin hedef ve stratejileriyle uyumlu biçimde yürütülmesini sağlayacak usul ve esasları belirlemektir.</w:t>
      </w:r>
    </w:p>
    <w:p w:rsidR="007F5C4E" w:rsidRPr="006759D7" w:rsidRDefault="007F5C4E" w:rsidP="007F5C4E">
      <w:pPr>
        <w:pStyle w:val="NormalWeb"/>
        <w:rPr>
          <w:rFonts w:eastAsia="Calibri"/>
          <w:b/>
        </w:rPr>
      </w:pPr>
      <w:r w:rsidRPr="006759D7">
        <w:rPr>
          <w:rFonts w:eastAsia="Calibri"/>
          <w:b/>
        </w:rPr>
        <w:t>Kapsam</w:t>
      </w:r>
    </w:p>
    <w:p w:rsidR="007F5C4E" w:rsidRPr="006759D7" w:rsidRDefault="007F5C4E" w:rsidP="007F5C4E">
      <w:pPr>
        <w:pStyle w:val="NormalWeb"/>
        <w:rPr>
          <w:rFonts w:eastAsia="Calibri"/>
        </w:rPr>
      </w:pPr>
      <w:r w:rsidRPr="006759D7">
        <w:rPr>
          <w:rFonts w:eastAsia="Calibri"/>
          <w:b/>
        </w:rPr>
        <w:t xml:space="preserve">MADDE 2 </w:t>
      </w:r>
      <w:r w:rsidRPr="006759D7">
        <w:rPr>
          <w:rFonts w:eastAsia="Calibri"/>
        </w:rPr>
        <w:t xml:space="preserve">– Bu Yönerge; </w:t>
      </w:r>
      <w:proofErr w:type="spellStart"/>
      <w:r w:rsidRPr="006759D7">
        <w:rPr>
          <w:rFonts w:eastAsia="Calibri"/>
        </w:rPr>
        <w:t>intörn</w:t>
      </w:r>
      <w:proofErr w:type="spellEnd"/>
      <w:r w:rsidRPr="006759D7">
        <w:rPr>
          <w:rFonts w:eastAsia="Calibri"/>
        </w:rPr>
        <w:t xml:space="preserve"> programı kapsamında verilecek eğitimin şekline, süresine, derslerine, işleyişine, değerlendirilmesine ve </w:t>
      </w:r>
      <w:proofErr w:type="spellStart"/>
      <w:r w:rsidRPr="006759D7">
        <w:rPr>
          <w:rFonts w:eastAsia="Calibri"/>
        </w:rPr>
        <w:t>intörn</w:t>
      </w:r>
      <w:proofErr w:type="spellEnd"/>
      <w:r w:rsidRPr="006759D7">
        <w:rPr>
          <w:rFonts w:eastAsia="Calibri"/>
        </w:rPr>
        <w:t xml:space="preserve"> programına dâhil olan öğrencilerin haklarına dair hükümleri kapsamaktadır.</w:t>
      </w:r>
    </w:p>
    <w:p w:rsidR="007F5C4E" w:rsidRPr="006759D7" w:rsidRDefault="007F5C4E" w:rsidP="007F5C4E">
      <w:pPr>
        <w:pStyle w:val="NormalWeb"/>
        <w:rPr>
          <w:rFonts w:eastAsia="Calibri"/>
          <w:b/>
        </w:rPr>
      </w:pPr>
      <w:r w:rsidRPr="006759D7">
        <w:rPr>
          <w:rFonts w:eastAsia="Calibri"/>
          <w:b/>
        </w:rPr>
        <w:t>Dayanak</w:t>
      </w:r>
    </w:p>
    <w:p w:rsidR="007F5C4E" w:rsidRPr="006759D7" w:rsidRDefault="007F5C4E" w:rsidP="007F5C4E">
      <w:pPr>
        <w:pStyle w:val="NormalWeb"/>
        <w:rPr>
          <w:rFonts w:eastAsia="Calibri"/>
        </w:rPr>
      </w:pPr>
      <w:r w:rsidRPr="006759D7">
        <w:rPr>
          <w:rFonts w:eastAsia="Calibri"/>
          <w:b/>
        </w:rPr>
        <w:t xml:space="preserve">MADDE 3 </w:t>
      </w:r>
      <w:r w:rsidRPr="006759D7">
        <w:rPr>
          <w:rFonts w:eastAsia="Calibri"/>
        </w:rPr>
        <w:t xml:space="preserve">– Bu Yönerge, 2547 Sayılı Yükseköğretim Kanunu’nun 17’nci maddesi ile Kırıkkale Üniversitesi Ön lisans ve Lisans </w:t>
      </w:r>
      <w:proofErr w:type="spellStart"/>
      <w:r w:rsidRPr="006759D7">
        <w:rPr>
          <w:rFonts w:eastAsia="Calibri"/>
        </w:rPr>
        <w:t>Eğitim-Öğretim</w:t>
      </w:r>
      <w:proofErr w:type="spellEnd"/>
      <w:r w:rsidRPr="006759D7">
        <w:rPr>
          <w:rFonts w:eastAsia="Calibri"/>
        </w:rPr>
        <w:t xml:space="preserve"> Yönetmeliği’ne dayanılarak hazırlanmıştır. </w:t>
      </w:r>
    </w:p>
    <w:p w:rsidR="007F5C4E" w:rsidRPr="006759D7" w:rsidRDefault="007F5C4E" w:rsidP="007F5C4E">
      <w:pPr>
        <w:pStyle w:val="NormalWeb"/>
        <w:rPr>
          <w:rFonts w:eastAsia="Calibri"/>
          <w:b/>
        </w:rPr>
      </w:pPr>
      <w:r w:rsidRPr="006759D7">
        <w:rPr>
          <w:rFonts w:eastAsia="Calibri"/>
          <w:b/>
        </w:rPr>
        <w:t>Tanımlar</w:t>
      </w:r>
    </w:p>
    <w:p w:rsidR="007F5C4E" w:rsidRPr="006759D7" w:rsidRDefault="007F5C4E" w:rsidP="007F5C4E">
      <w:pPr>
        <w:pStyle w:val="NormalWeb"/>
        <w:rPr>
          <w:rFonts w:eastAsia="Calibri"/>
          <w:b/>
        </w:rPr>
      </w:pPr>
      <w:r w:rsidRPr="006759D7">
        <w:rPr>
          <w:rFonts w:eastAsia="Calibri"/>
          <w:b/>
        </w:rPr>
        <w:t xml:space="preserve">MADDE 4- </w:t>
      </w:r>
      <w:r w:rsidRPr="006759D7">
        <w:rPr>
          <w:rFonts w:eastAsia="Calibri"/>
          <w:iCs/>
        </w:rPr>
        <w:t>Bu Yönergede adı geçen;</w:t>
      </w:r>
    </w:p>
    <w:p w:rsidR="007F5C4E" w:rsidRPr="006759D7" w:rsidRDefault="007F5C4E" w:rsidP="007F5C4E">
      <w:pPr>
        <w:pStyle w:val="NormalWeb"/>
        <w:rPr>
          <w:rFonts w:eastAsia="Calibri"/>
        </w:rPr>
      </w:pPr>
      <w:r w:rsidRPr="006759D7">
        <w:rPr>
          <w:rFonts w:eastAsia="Calibri"/>
        </w:rPr>
        <w:t>a) Başhekimlik: Veteriner Fakültesi Eğitim, Araştırma ve Uygulama Hayvan Hastanesi Başhekimliğini,</w:t>
      </w:r>
    </w:p>
    <w:p w:rsidR="007F5C4E" w:rsidRPr="006759D7" w:rsidRDefault="007F5C4E" w:rsidP="007F5C4E">
      <w:pPr>
        <w:pStyle w:val="NormalWeb"/>
        <w:rPr>
          <w:rFonts w:eastAsia="Calibri"/>
        </w:rPr>
      </w:pPr>
      <w:proofErr w:type="gramStart"/>
      <w:r w:rsidRPr="006759D7">
        <w:rPr>
          <w:rFonts w:eastAsia="Calibri"/>
        </w:rPr>
        <w:t xml:space="preserve">b) Birim: Kırıkkale Üniversitesi Veteriner Fakültesi </w:t>
      </w:r>
      <w:proofErr w:type="spellStart"/>
      <w:r w:rsidRPr="006759D7">
        <w:rPr>
          <w:rFonts w:eastAsia="Calibri"/>
        </w:rPr>
        <w:t>intörn</w:t>
      </w:r>
      <w:proofErr w:type="spellEnd"/>
      <w:r w:rsidRPr="006759D7">
        <w:rPr>
          <w:rFonts w:eastAsia="Calibri"/>
        </w:rPr>
        <w:t xml:space="preserve"> eğitimine iştirak eden Anabilim Dalları (</w:t>
      </w:r>
      <w:proofErr w:type="spellStart"/>
      <w:r w:rsidRPr="006759D7">
        <w:rPr>
          <w:rFonts w:eastAsia="Calibri"/>
        </w:rPr>
        <w:t>Biyoistatistik</w:t>
      </w:r>
      <w:proofErr w:type="spellEnd"/>
      <w:r w:rsidRPr="006759D7">
        <w:rPr>
          <w:rFonts w:eastAsia="Calibri"/>
        </w:rPr>
        <w:t xml:space="preserve">, Biyokimya, Cerrahi, Doğum ve Jinekoloji, </w:t>
      </w:r>
      <w:proofErr w:type="spellStart"/>
      <w:r w:rsidRPr="006759D7">
        <w:rPr>
          <w:rFonts w:eastAsia="Calibri"/>
        </w:rPr>
        <w:t>Dölerme</w:t>
      </w:r>
      <w:proofErr w:type="spellEnd"/>
      <w:r w:rsidRPr="006759D7">
        <w:rPr>
          <w:rFonts w:eastAsia="Calibri"/>
        </w:rPr>
        <w:t xml:space="preserve"> ve Suni Tohumlama, Farmakoloji ve Toksikoloji, Fizyoloji, Gıda Hijyeni ve Teknolojisi, Hayvan Besleme ve Beslenme Hastalıkları, Hayvan Sağlığı Ekonomisi ve İşletmeciliği, İç Hastalıkları, Mikrobiyoloji, Parazitoloji, Patoloji, Viroloji, Zootekni) ile iç ve dış </w:t>
      </w:r>
      <w:proofErr w:type="spellStart"/>
      <w:r w:rsidRPr="006759D7">
        <w:rPr>
          <w:rFonts w:eastAsia="Calibri"/>
        </w:rPr>
        <w:t>intörn</w:t>
      </w:r>
      <w:proofErr w:type="spellEnd"/>
      <w:r w:rsidRPr="006759D7">
        <w:rPr>
          <w:rFonts w:eastAsia="Calibri"/>
        </w:rPr>
        <w:t xml:space="preserve"> eğitim paydaşlarını,</w:t>
      </w:r>
      <w:proofErr w:type="gramEnd"/>
    </w:p>
    <w:p w:rsidR="007F5C4E" w:rsidRPr="006759D7" w:rsidRDefault="007F5C4E" w:rsidP="007F5C4E">
      <w:pPr>
        <w:pStyle w:val="NormalWeb"/>
        <w:rPr>
          <w:rFonts w:eastAsia="Calibri"/>
        </w:rPr>
      </w:pPr>
      <w:r w:rsidRPr="006759D7">
        <w:rPr>
          <w:rFonts w:eastAsia="Calibri"/>
        </w:rPr>
        <w:t>c) Dekan: Kırıkkale Üniversitesi Veteriner Fakültesi Dekanını,</w:t>
      </w:r>
    </w:p>
    <w:p w:rsidR="007F5C4E" w:rsidRPr="006759D7" w:rsidRDefault="007F5C4E" w:rsidP="007F5C4E">
      <w:pPr>
        <w:pStyle w:val="NormalWeb"/>
        <w:rPr>
          <w:rFonts w:eastAsia="Calibri"/>
        </w:rPr>
      </w:pPr>
      <w:r w:rsidRPr="006759D7">
        <w:rPr>
          <w:rFonts w:eastAsia="Calibri"/>
        </w:rPr>
        <w:t xml:space="preserve">ç) </w:t>
      </w:r>
      <w:proofErr w:type="spellStart"/>
      <w:r w:rsidRPr="006759D7">
        <w:rPr>
          <w:rFonts w:eastAsia="Calibri"/>
        </w:rPr>
        <w:t>Ekstörn</w:t>
      </w:r>
      <w:proofErr w:type="spellEnd"/>
      <w:r w:rsidRPr="006759D7">
        <w:rPr>
          <w:rFonts w:eastAsia="Calibri"/>
        </w:rPr>
        <w:t xml:space="preserve">: İç-dış paydaş </w:t>
      </w:r>
      <w:proofErr w:type="spellStart"/>
      <w:r w:rsidRPr="006759D7">
        <w:rPr>
          <w:rFonts w:eastAsia="Calibri"/>
        </w:rPr>
        <w:t>intörnlük</w:t>
      </w:r>
      <w:proofErr w:type="spellEnd"/>
      <w:r w:rsidRPr="006759D7">
        <w:rPr>
          <w:rFonts w:eastAsia="Calibri"/>
        </w:rPr>
        <w:t xml:space="preserve"> uygulamaları</w:t>
      </w:r>
    </w:p>
    <w:p w:rsidR="00AC2439" w:rsidRDefault="007F5C4E" w:rsidP="007F5C4E">
      <w:pPr>
        <w:pStyle w:val="NormalWeb"/>
        <w:rPr>
          <w:rFonts w:eastAsia="Calibri"/>
        </w:rPr>
      </w:pPr>
      <w:r w:rsidRPr="006759D7">
        <w:rPr>
          <w:rFonts w:eastAsia="Calibri"/>
        </w:rPr>
        <w:t>d) Fakülte: Kırıkkale Üniversitesi Veteriner Fakültesi’ni,</w:t>
      </w:r>
    </w:p>
    <w:p w:rsidR="007F5C4E" w:rsidRPr="006759D7" w:rsidRDefault="007F5C4E" w:rsidP="007F5C4E">
      <w:pPr>
        <w:pStyle w:val="NormalWeb"/>
        <w:rPr>
          <w:rFonts w:eastAsia="Calibri"/>
        </w:rPr>
      </w:pPr>
      <w:r w:rsidRPr="006759D7">
        <w:rPr>
          <w:rFonts w:eastAsia="Calibri"/>
        </w:rPr>
        <w:t>e</w:t>
      </w:r>
      <w:r w:rsidRPr="006759D7">
        <w:rPr>
          <w:rFonts w:eastAsia="Calibri"/>
          <w:b/>
        </w:rPr>
        <w:t xml:space="preserve">) </w:t>
      </w:r>
      <w:r w:rsidRPr="006759D7">
        <w:rPr>
          <w:rFonts w:eastAsia="Calibri"/>
        </w:rPr>
        <w:t>Fakülte Yönetim Kurulu: Kırıkkale Üniversitesi Veteriner Fakültesi Yönetim</w:t>
      </w:r>
      <w:r>
        <w:rPr>
          <w:rFonts w:eastAsia="Calibri"/>
        </w:rPr>
        <w:t xml:space="preserve"> </w:t>
      </w:r>
      <w:r w:rsidRPr="006759D7">
        <w:rPr>
          <w:rFonts w:eastAsia="Calibri"/>
        </w:rPr>
        <w:t>Kurulunu,</w:t>
      </w:r>
    </w:p>
    <w:p w:rsidR="007F5C4E" w:rsidRPr="006759D7" w:rsidRDefault="007F5C4E" w:rsidP="007F5C4E">
      <w:pPr>
        <w:pStyle w:val="NormalWeb"/>
        <w:rPr>
          <w:rFonts w:eastAsia="Calibri"/>
        </w:rPr>
      </w:pPr>
      <w:r w:rsidRPr="006759D7">
        <w:rPr>
          <w:rFonts w:eastAsia="Calibri"/>
        </w:rPr>
        <w:lastRenderedPageBreak/>
        <w:t>f) Hastane: Kırıkkale Üniversitesi Veteriner Fakültesi Eğitim, Araştırma ve Uygulama Hayvan Hastanesini,</w:t>
      </w:r>
    </w:p>
    <w:p w:rsidR="007F5C4E" w:rsidRPr="006759D7" w:rsidRDefault="007F5C4E" w:rsidP="007F5C4E">
      <w:pPr>
        <w:pStyle w:val="NormalWeb"/>
        <w:rPr>
          <w:rFonts w:eastAsia="Calibri"/>
        </w:rPr>
      </w:pPr>
      <w:r w:rsidRPr="006759D7">
        <w:rPr>
          <w:rFonts w:eastAsia="Calibri"/>
        </w:rPr>
        <w:t xml:space="preserve">g) </w:t>
      </w:r>
      <w:proofErr w:type="spellStart"/>
      <w:r w:rsidRPr="006759D7">
        <w:rPr>
          <w:rFonts w:eastAsia="Calibri"/>
        </w:rPr>
        <w:t>İntörn</w:t>
      </w:r>
      <w:proofErr w:type="spellEnd"/>
      <w:r w:rsidRPr="006759D7">
        <w:rPr>
          <w:rFonts w:eastAsia="Calibri"/>
        </w:rPr>
        <w:t xml:space="preserve">: 10’uncu yarıyıl müfredatına göre Veteriner Hekimliği </w:t>
      </w:r>
      <w:proofErr w:type="spellStart"/>
      <w:r w:rsidRPr="006759D7">
        <w:rPr>
          <w:rFonts w:eastAsia="Calibri"/>
        </w:rPr>
        <w:t>İntörn</w:t>
      </w:r>
      <w:proofErr w:type="spellEnd"/>
      <w:r w:rsidRPr="006759D7">
        <w:rPr>
          <w:rFonts w:eastAsia="Calibri"/>
        </w:rPr>
        <w:t xml:space="preserve"> Programına (VEHİP) kayıtlı Kırıkkale Üniversitesi Veteriner Fakültesi öğrencisini,</w:t>
      </w:r>
    </w:p>
    <w:p w:rsidR="007F5C4E" w:rsidRPr="006759D7" w:rsidRDefault="007F5C4E" w:rsidP="007F5C4E">
      <w:pPr>
        <w:pStyle w:val="NormalWeb"/>
        <w:rPr>
          <w:rFonts w:eastAsia="Calibri"/>
        </w:rPr>
      </w:pPr>
      <w:r w:rsidRPr="006759D7">
        <w:rPr>
          <w:rFonts w:eastAsia="Calibri"/>
        </w:rPr>
        <w:t xml:space="preserve">ğ) </w:t>
      </w:r>
      <w:proofErr w:type="spellStart"/>
      <w:r w:rsidRPr="006759D7">
        <w:rPr>
          <w:rFonts w:eastAsia="Calibri"/>
        </w:rPr>
        <w:t>İntörn</w:t>
      </w:r>
      <w:proofErr w:type="spellEnd"/>
      <w:r w:rsidRPr="006759D7">
        <w:rPr>
          <w:rFonts w:eastAsia="Calibri"/>
        </w:rPr>
        <w:t xml:space="preserve"> Karnesi: Kırıkkale Üniversitesi Veteriner Fakültesi eğitim hedefleri ve müfredatına uygun olarak, Dekanlık tarafından hazırlanan ve VEHİP eğitiminde kazanılması beklenen temel mesleki uygulama becerilerini içeren </w:t>
      </w:r>
      <w:proofErr w:type="spellStart"/>
      <w:r w:rsidRPr="006759D7">
        <w:rPr>
          <w:rFonts w:eastAsia="Calibri"/>
        </w:rPr>
        <w:t>intörn</w:t>
      </w:r>
      <w:proofErr w:type="spellEnd"/>
      <w:r w:rsidRPr="006759D7">
        <w:rPr>
          <w:rFonts w:eastAsia="Calibri"/>
        </w:rPr>
        <w:t xml:space="preserve"> takip ve değerlendirme karnesini,</w:t>
      </w:r>
    </w:p>
    <w:p w:rsidR="007F5C4E" w:rsidRPr="006759D7" w:rsidRDefault="007F5C4E" w:rsidP="007F5C4E">
      <w:pPr>
        <w:pStyle w:val="NormalWeb"/>
        <w:rPr>
          <w:rFonts w:eastAsia="Calibri"/>
        </w:rPr>
      </w:pPr>
      <w:r w:rsidRPr="006759D7">
        <w:rPr>
          <w:rFonts w:eastAsia="Calibri"/>
        </w:rPr>
        <w:t xml:space="preserve">h) Rektör: Kırıkkale Üniversitesi Rektörünü, </w:t>
      </w:r>
    </w:p>
    <w:p w:rsidR="007F5C4E" w:rsidRPr="006759D7" w:rsidRDefault="007F5C4E" w:rsidP="007F5C4E">
      <w:pPr>
        <w:pStyle w:val="NormalWeb"/>
        <w:rPr>
          <w:rFonts w:eastAsia="Calibri"/>
        </w:rPr>
      </w:pPr>
      <w:r w:rsidRPr="006759D7">
        <w:rPr>
          <w:rFonts w:eastAsia="Calibri"/>
        </w:rPr>
        <w:t xml:space="preserve">ı) Staj ve </w:t>
      </w:r>
      <w:proofErr w:type="spellStart"/>
      <w:r w:rsidRPr="006759D7">
        <w:rPr>
          <w:rFonts w:eastAsia="Calibri"/>
        </w:rPr>
        <w:t>İntörn</w:t>
      </w:r>
      <w:proofErr w:type="spellEnd"/>
      <w:r w:rsidRPr="006759D7">
        <w:rPr>
          <w:rFonts w:eastAsia="Calibri"/>
        </w:rPr>
        <w:t xml:space="preserve"> Eğitim Komisyonu: Dekanlık tarafından oluşturulan Staj ve </w:t>
      </w:r>
      <w:proofErr w:type="spellStart"/>
      <w:r w:rsidRPr="006759D7">
        <w:rPr>
          <w:rFonts w:eastAsia="Calibri"/>
        </w:rPr>
        <w:t>İntörn</w:t>
      </w:r>
      <w:proofErr w:type="spellEnd"/>
      <w:r w:rsidRPr="006759D7">
        <w:rPr>
          <w:rFonts w:eastAsia="Calibri"/>
        </w:rPr>
        <w:t xml:space="preserve"> Eğitim Komisyonunu, </w:t>
      </w:r>
    </w:p>
    <w:p w:rsidR="007F5C4E" w:rsidRPr="006759D7" w:rsidRDefault="007F5C4E" w:rsidP="007F5C4E">
      <w:pPr>
        <w:pStyle w:val="NormalWeb"/>
        <w:rPr>
          <w:rFonts w:eastAsia="Calibri"/>
        </w:rPr>
      </w:pPr>
      <w:r w:rsidRPr="006759D7">
        <w:rPr>
          <w:rFonts w:eastAsia="Calibri"/>
        </w:rPr>
        <w:t>j) Üniversite: Kırıkkale Üniversitesi’ni, tanımlar.</w:t>
      </w:r>
    </w:p>
    <w:p w:rsidR="007F5C4E" w:rsidRPr="006759D7" w:rsidRDefault="007F5C4E" w:rsidP="007F5C4E">
      <w:pPr>
        <w:pStyle w:val="NormalWeb"/>
        <w:rPr>
          <w:rFonts w:eastAsia="Calibri"/>
          <w:b/>
        </w:rPr>
      </w:pPr>
      <w:r w:rsidRPr="006759D7">
        <w:rPr>
          <w:rFonts w:eastAsia="Calibri"/>
          <w:b/>
        </w:rPr>
        <w:t>İKİNCİ BÖLÜM</w:t>
      </w:r>
    </w:p>
    <w:p w:rsidR="007F5C4E" w:rsidRPr="006759D7" w:rsidRDefault="007F5C4E" w:rsidP="007F5C4E">
      <w:pPr>
        <w:pStyle w:val="NormalWeb"/>
        <w:rPr>
          <w:rFonts w:eastAsia="Calibri"/>
          <w:b/>
        </w:rPr>
      </w:pPr>
      <w:r w:rsidRPr="006759D7">
        <w:rPr>
          <w:rFonts w:eastAsia="Calibri"/>
          <w:b/>
        </w:rPr>
        <w:t>Eğitim Programı</w:t>
      </w:r>
    </w:p>
    <w:p w:rsidR="007F5C4E" w:rsidRPr="006759D7" w:rsidRDefault="007F5C4E" w:rsidP="007F5C4E">
      <w:pPr>
        <w:pStyle w:val="NormalWeb"/>
        <w:rPr>
          <w:rFonts w:eastAsia="Calibri"/>
        </w:rPr>
      </w:pPr>
      <w:r w:rsidRPr="006759D7">
        <w:rPr>
          <w:rFonts w:eastAsia="Calibri"/>
          <w:b/>
        </w:rPr>
        <w:t>MADDE 5-</w:t>
      </w:r>
      <w:r w:rsidRPr="006759D7">
        <w:rPr>
          <w:rFonts w:eastAsia="Calibri"/>
        </w:rPr>
        <w:t xml:space="preserve"> Veteriner Hekimliği eğitiminin amaçlarını gerçekleştirmek için </w:t>
      </w:r>
      <w:proofErr w:type="spellStart"/>
      <w:r w:rsidRPr="006759D7">
        <w:rPr>
          <w:rFonts w:eastAsia="Calibri"/>
        </w:rPr>
        <w:t>İntörnler</w:t>
      </w:r>
      <w:proofErr w:type="spellEnd"/>
      <w:r w:rsidRPr="006759D7">
        <w:rPr>
          <w:rFonts w:eastAsia="Calibri"/>
        </w:rPr>
        <w:t xml:space="preserve"> </w:t>
      </w:r>
      <w:r w:rsidRPr="006759D7">
        <w:rPr>
          <w:rFonts w:eastAsia="Calibri"/>
          <w:bCs/>
        </w:rPr>
        <w:t>10’uncu</w:t>
      </w:r>
      <w:r w:rsidRPr="006759D7">
        <w:rPr>
          <w:rFonts w:eastAsia="Calibri"/>
        </w:rPr>
        <w:t xml:space="preserve"> Yarıyıl müfredatını; hastane, birimler, Üniversite bünyesinde yer alan çiftlik ve diğer uygulama ve araştırma merkezleri ile Dekanlığın onay verdiği, uygulama eğitimine katılım sağlayan iç ve dış paydaş kuruluşlarda teorik ve uygulamalı eğitim alarak geçirirler. </w:t>
      </w:r>
      <w:r w:rsidRPr="006759D7">
        <w:rPr>
          <w:rFonts w:eastAsia="Calibri"/>
          <w:bCs/>
        </w:rPr>
        <w:t>10’uncu</w:t>
      </w:r>
      <w:r w:rsidRPr="006759D7">
        <w:rPr>
          <w:rFonts w:eastAsia="Calibri"/>
        </w:rPr>
        <w:t xml:space="preserve"> yarıyıl müfredatındaki </w:t>
      </w:r>
      <w:proofErr w:type="spellStart"/>
      <w:r w:rsidRPr="006759D7">
        <w:rPr>
          <w:rFonts w:eastAsia="Calibri"/>
        </w:rPr>
        <w:t>intörn</w:t>
      </w:r>
      <w:proofErr w:type="spellEnd"/>
      <w:r w:rsidRPr="006759D7">
        <w:rPr>
          <w:rFonts w:eastAsia="Calibri"/>
        </w:rPr>
        <w:t xml:space="preserve"> eğitim programı; </w:t>
      </w:r>
      <w:proofErr w:type="spellStart"/>
      <w:r w:rsidRPr="006759D7">
        <w:rPr>
          <w:rFonts w:eastAsia="Calibri"/>
        </w:rPr>
        <w:t>intörnün</w:t>
      </w:r>
      <w:proofErr w:type="spellEnd"/>
      <w:r w:rsidRPr="006759D7">
        <w:rPr>
          <w:rFonts w:eastAsia="Calibri"/>
        </w:rPr>
        <w:t xml:space="preserve"> evcil ve egzotik hayvanlarda tanı, tedavi, koruyucu hekimlik gibi bilgiler; gıda güvenliği, kontrolü ve işlenmesi; hayvan besleme, ıslahı, refahı ve yetiştiriciliği gibi mezuniyet sonrasında ihtiyaç duyacağı yetkinliğe sahip olabilmesini sağlamak amacıyla planlanır.</w:t>
      </w:r>
    </w:p>
    <w:p w:rsidR="007F5C4E" w:rsidRPr="006759D7" w:rsidRDefault="007F5C4E" w:rsidP="007F5C4E">
      <w:pPr>
        <w:pStyle w:val="NormalWeb"/>
        <w:rPr>
          <w:rFonts w:eastAsia="Calibri"/>
        </w:rPr>
      </w:pPr>
      <w:r w:rsidRPr="006759D7">
        <w:rPr>
          <w:rFonts w:eastAsia="Calibri"/>
          <w:b/>
        </w:rPr>
        <w:t xml:space="preserve">MADDE 6- </w:t>
      </w:r>
      <w:r w:rsidRPr="006759D7">
        <w:rPr>
          <w:rFonts w:eastAsia="Calibri"/>
          <w:bCs/>
        </w:rPr>
        <w:t>10’uncu</w:t>
      </w:r>
      <w:r w:rsidRPr="006759D7">
        <w:rPr>
          <w:rFonts w:eastAsia="Calibri"/>
          <w:b/>
        </w:rPr>
        <w:t xml:space="preserve"> </w:t>
      </w:r>
      <w:r w:rsidRPr="006759D7">
        <w:rPr>
          <w:rFonts w:eastAsia="Calibri"/>
        </w:rPr>
        <w:t xml:space="preserve">yarıyıl VEHİP, </w:t>
      </w:r>
      <w:proofErr w:type="spellStart"/>
      <w:r w:rsidRPr="006759D7">
        <w:rPr>
          <w:rFonts w:eastAsia="Calibri"/>
        </w:rPr>
        <w:t>intörn</w:t>
      </w:r>
      <w:proofErr w:type="spellEnd"/>
      <w:r w:rsidRPr="006759D7">
        <w:rPr>
          <w:rFonts w:eastAsia="Calibri"/>
        </w:rPr>
        <w:t xml:space="preserve"> ve iç-dış paydaş </w:t>
      </w:r>
      <w:proofErr w:type="spellStart"/>
      <w:r w:rsidRPr="006759D7">
        <w:rPr>
          <w:rFonts w:eastAsia="Calibri"/>
        </w:rPr>
        <w:t>intörnlük</w:t>
      </w:r>
      <w:proofErr w:type="spellEnd"/>
      <w:r w:rsidRPr="006759D7">
        <w:rPr>
          <w:rFonts w:eastAsia="Calibri"/>
        </w:rPr>
        <w:t xml:space="preserve"> uygulamaları (</w:t>
      </w:r>
      <w:proofErr w:type="spellStart"/>
      <w:r w:rsidRPr="006759D7">
        <w:rPr>
          <w:rFonts w:eastAsia="Calibri"/>
        </w:rPr>
        <w:t>ekstörn</w:t>
      </w:r>
      <w:proofErr w:type="spellEnd"/>
      <w:r w:rsidRPr="006759D7">
        <w:rPr>
          <w:rFonts w:eastAsia="Calibri"/>
        </w:rPr>
        <w:t>) şeklinde iki ayrı dersten oluşur.</w:t>
      </w:r>
    </w:p>
    <w:p w:rsidR="007F5C4E" w:rsidRPr="006759D7" w:rsidRDefault="007F5C4E" w:rsidP="007F5C4E">
      <w:pPr>
        <w:pStyle w:val="NormalWeb"/>
        <w:rPr>
          <w:rFonts w:eastAsia="Calibri"/>
        </w:rPr>
      </w:pPr>
      <w:r w:rsidRPr="006759D7">
        <w:rPr>
          <w:rFonts w:eastAsia="Calibri"/>
          <w:b/>
        </w:rPr>
        <w:t xml:space="preserve">MADDE 7- </w:t>
      </w:r>
      <w:r w:rsidRPr="006759D7">
        <w:rPr>
          <w:rFonts w:eastAsia="Calibri"/>
        </w:rPr>
        <w:t xml:space="preserve">VEHİP, toplam 30 </w:t>
      </w:r>
      <w:proofErr w:type="spellStart"/>
      <w:r w:rsidRPr="006759D7">
        <w:rPr>
          <w:rFonts w:eastAsia="Calibri"/>
        </w:rPr>
        <w:t>AKTS’lik</w:t>
      </w:r>
      <w:proofErr w:type="spellEnd"/>
      <w:r w:rsidRPr="006759D7">
        <w:rPr>
          <w:rFonts w:eastAsia="Calibri"/>
        </w:rPr>
        <w:t xml:space="preserve"> bir program olup öğrencinin genel not ortalamasına dâhil edilir. </w:t>
      </w:r>
    </w:p>
    <w:p w:rsidR="007F5C4E" w:rsidRPr="006759D7" w:rsidRDefault="007F5C4E" w:rsidP="007F5C4E">
      <w:pPr>
        <w:pStyle w:val="NormalWeb"/>
        <w:rPr>
          <w:rFonts w:eastAsia="Calibri"/>
        </w:rPr>
      </w:pPr>
      <w:r w:rsidRPr="006759D7">
        <w:rPr>
          <w:rFonts w:eastAsia="Calibri"/>
          <w:b/>
        </w:rPr>
        <w:t>MADDE 8-</w:t>
      </w:r>
      <w:r w:rsidRPr="006759D7">
        <w:rPr>
          <w:rFonts w:eastAsia="Calibri"/>
        </w:rPr>
        <w:t xml:space="preserve"> VEHİP 15 haftadan oluşur. </w:t>
      </w:r>
    </w:p>
    <w:p w:rsidR="007F5C4E" w:rsidRPr="006759D7" w:rsidRDefault="007F5C4E" w:rsidP="007F5C4E">
      <w:pPr>
        <w:pStyle w:val="NormalWeb"/>
        <w:rPr>
          <w:rFonts w:eastAsia="Calibri"/>
        </w:rPr>
      </w:pPr>
      <w:r w:rsidRPr="006759D7">
        <w:rPr>
          <w:rFonts w:eastAsia="Calibri"/>
          <w:b/>
        </w:rPr>
        <w:t>MADDE 9</w:t>
      </w:r>
      <w:r w:rsidRPr="006759D7">
        <w:rPr>
          <w:rFonts w:eastAsia="Calibri"/>
        </w:rPr>
        <w:t>- VEHİP teorik derslerinin ders içerikleri, Fakülte Kurulu onayı şartıyla dersi veren birimler tarafından belirlenir.</w:t>
      </w:r>
    </w:p>
    <w:p w:rsidR="007F5C4E" w:rsidRPr="006759D7" w:rsidRDefault="007F5C4E" w:rsidP="007F5C4E">
      <w:pPr>
        <w:pStyle w:val="NormalWeb"/>
        <w:rPr>
          <w:rFonts w:eastAsia="Calibri"/>
        </w:rPr>
      </w:pPr>
      <w:r w:rsidRPr="006759D7">
        <w:rPr>
          <w:rFonts w:eastAsia="Calibri"/>
          <w:b/>
        </w:rPr>
        <w:t xml:space="preserve">MADDE 10- </w:t>
      </w:r>
      <w:r w:rsidRPr="006759D7">
        <w:rPr>
          <w:rFonts w:eastAsia="Calibri"/>
        </w:rPr>
        <w:t>Dersler ve haftalık ders saatleri;</w:t>
      </w:r>
    </w:p>
    <w:p w:rsidR="007F5C4E" w:rsidRDefault="007F5C4E" w:rsidP="007F5C4E">
      <w:pPr>
        <w:pStyle w:val="NormalWeb"/>
        <w:rPr>
          <w:rFonts w:eastAsia="Calibri"/>
        </w:rPr>
      </w:pPr>
      <w:r w:rsidRPr="006759D7">
        <w:rPr>
          <w:rFonts w:eastAsia="Calibri"/>
        </w:rPr>
        <w:t xml:space="preserve">VEHİP </w:t>
      </w:r>
      <w:proofErr w:type="spellStart"/>
      <w:r w:rsidRPr="006759D7">
        <w:rPr>
          <w:rFonts w:eastAsia="Calibri"/>
        </w:rPr>
        <w:t>ekstörn</w:t>
      </w:r>
      <w:proofErr w:type="spellEnd"/>
      <w:r w:rsidRPr="006759D7">
        <w:rPr>
          <w:rFonts w:eastAsia="Calibri"/>
        </w:rPr>
        <w:t xml:space="preserve"> eğitimi, birimler ile iç ve dış paydaşların iş birliğinde gerçekleştirilir. Her akademik yılda </w:t>
      </w:r>
      <w:proofErr w:type="spellStart"/>
      <w:r w:rsidRPr="006759D7">
        <w:rPr>
          <w:rFonts w:eastAsia="Calibri"/>
        </w:rPr>
        <w:t>ekstörn</w:t>
      </w:r>
      <w:proofErr w:type="spellEnd"/>
      <w:r w:rsidRPr="006759D7">
        <w:rPr>
          <w:rFonts w:eastAsia="Calibri"/>
        </w:rPr>
        <w:t xml:space="preserve"> eğitimine katılacak birimler ve ders süreleri Staj ve </w:t>
      </w:r>
      <w:proofErr w:type="spellStart"/>
      <w:r w:rsidRPr="006759D7">
        <w:rPr>
          <w:rFonts w:eastAsia="Calibri"/>
        </w:rPr>
        <w:t>İntörn</w:t>
      </w:r>
      <w:proofErr w:type="spellEnd"/>
      <w:r w:rsidRPr="006759D7">
        <w:rPr>
          <w:rFonts w:eastAsia="Calibri"/>
        </w:rPr>
        <w:t xml:space="preserve"> Eğitim Komisyonu tarafından tespit edilir ve Dekanlık oluru ile programa dâhil edilir. </w:t>
      </w:r>
    </w:p>
    <w:p w:rsidR="00AC2439" w:rsidRDefault="00AC2439" w:rsidP="007F5C4E">
      <w:pPr>
        <w:pStyle w:val="NormalWeb"/>
        <w:rPr>
          <w:rFonts w:eastAsia="Calibri"/>
        </w:rPr>
      </w:pPr>
    </w:p>
    <w:p w:rsidR="007F5C4E" w:rsidRDefault="007F5C4E" w:rsidP="007F5C4E">
      <w:pPr>
        <w:pStyle w:val="NormalWeb"/>
        <w:rPr>
          <w:rFonts w:eastAsia="Calibri"/>
        </w:rPr>
      </w:pPr>
    </w:p>
    <w:p w:rsidR="007F5C4E" w:rsidRPr="007F5C4E" w:rsidRDefault="007F5C4E" w:rsidP="007F5C4E">
      <w:pPr>
        <w:pStyle w:val="NormalWeb"/>
        <w:rPr>
          <w:rFonts w:eastAsia="Calibri"/>
        </w:rPr>
      </w:pPr>
      <w:r w:rsidRPr="006759D7">
        <w:rPr>
          <w:rFonts w:eastAsia="Calibri"/>
        </w:rPr>
        <w:lastRenderedPageBreak/>
        <w:t>Tablo 1.</w:t>
      </w:r>
      <w:r>
        <w:rPr>
          <w:rFonts w:eastAsia="Calibri"/>
        </w:rPr>
        <w:t xml:space="preserve"> VEHİP dersleri ve ders saatleri</w:t>
      </w:r>
    </w:p>
    <w:tbl>
      <w:tblPr>
        <w:tblStyle w:val="TabloKlavuzu"/>
        <w:tblW w:w="0" w:type="auto"/>
        <w:tblLook w:val="04A0" w:firstRow="1" w:lastRow="0" w:firstColumn="1" w:lastColumn="0" w:noHBand="0" w:noVBand="1"/>
      </w:tblPr>
      <w:tblGrid>
        <w:gridCol w:w="4685"/>
        <w:gridCol w:w="1523"/>
        <w:gridCol w:w="1549"/>
        <w:gridCol w:w="1531"/>
      </w:tblGrid>
      <w:tr w:rsidR="007F5C4E" w:rsidRPr="00605C66" w:rsidTr="00C061AC">
        <w:trPr>
          <w:trHeight w:hRule="exact" w:val="340"/>
        </w:trPr>
        <w:tc>
          <w:tcPr>
            <w:tcW w:w="4820" w:type="dxa"/>
          </w:tcPr>
          <w:p w:rsidR="007F5C4E" w:rsidRPr="00605C66" w:rsidRDefault="007F5C4E" w:rsidP="00C061AC">
            <w:pPr>
              <w:pStyle w:val="NormalWeb"/>
              <w:rPr>
                <w:b/>
                <w:bCs/>
                <w:color w:val="000000"/>
                <w:szCs w:val="27"/>
              </w:rPr>
            </w:pPr>
            <w:r w:rsidRPr="00605C66">
              <w:rPr>
                <w:b/>
                <w:bCs/>
                <w:color w:val="000000"/>
                <w:szCs w:val="27"/>
              </w:rPr>
              <w:t>Dersler</w:t>
            </w:r>
          </w:p>
          <w:p w:rsidR="007F5C4E" w:rsidRPr="00605C66" w:rsidRDefault="007F5C4E" w:rsidP="00C061AC">
            <w:pPr>
              <w:pStyle w:val="NormalWeb"/>
              <w:rPr>
                <w:color w:val="000000"/>
                <w:szCs w:val="27"/>
              </w:rPr>
            </w:pPr>
          </w:p>
        </w:tc>
        <w:tc>
          <w:tcPr>
            <w:tcW w:w="1551" w:type="dxa"/>
          </w:tcPr>
          <w:p w:rsidR="007F5C4E" w:rsidRPr="00605C66" w:rsidRDefault="007F5C4E" w:rsidP="00C061AC">
            <w:pPr>
              <w:pStyle w:val="NormalWeb"/>
              <w:rPr>
                <w:color w:val="000000"/>
                <w:szCs w:val="27"/>
              </w:rPr>
            </w:pPr>
            <w:r w:rsidRPr="00605C66">
              <w:rPr>
                <w:b/>
                <w:bCs/>
                <w:color w:val="000000"/>
                <w:szCs w:val="27"/>
              </w:rPr>
              <w:t>Teorik Ders Saati</w:t>
            </w:r>
          </w:p>
        </w:tc>
        <w:tc>
          <w:tcPr>
            <w:tcW w:w="1562" w:type="dxa"/>
          </w:tcPr>
          <w:p w:rsidR="007F5C4E" w:rsidRPr="00605C66" w:rsidRDefault="007F5C4E" w:rsidP="00C061AC">
            <w:pPr>
              <w:pStyle w:val="NormalWeb"/>
              <w:rPr>
                <w:b/>
                <w:bCs/>
                <w:color w:val="000000"/>
                <w:szCs w:val="27"/>
              </w:rPr>
            </w:pPr>
            <w:r w:rsidRPr="00605C66">
              <w:rPr>
                <w:b/>
                <w:bCs/>
                <w:color w:val="000000"/>
                <w:szCs w:val="27"/>
              </w:rPr>
              <w:t>Uygulama</w:t>
            </w:r>
          </w:p>
          <w:p w:rsidR="007F5C4E" w:rsidRPr="00605C66" w:rsidRDefault="007F5C4E" w:rsidP="00C061AC">
            <w:pPr>
              <w:pStyle w:val="NormalWeb"/>
              <w:rPr>
                <w:color w:val="000000"/>
                <w:szCs w:val="27"/>
              </w:rPr>
            </w:pPr>
            <w:r w:rsidRPr="00605C66">
              <w:rPr>
                <w:b/>
                <w:bCs/>
                <w:color w:val="000000"/>
                <w:szCs w:val="27"/>
              </w:rPr>
              <w:t>Ders Saati</w:t>
            </w:r>
          </w:p>
        </w:tc>
        <w:tc>
          <w:tcPr>
            <w:tcW w:w="1555" w:type="dxa"/>
          </w:tcPr>
          <w:p w:rsidR="007F5C4E" w:rsidRPr="00605C66" w:rsidRDefault="007F5C4E" w:rsidP="00C061AC">
            <w:pPr>
              <w:pStyle w:val="NormalWeb"/>
              <w:rPr>
                <w:color w:val="000000"/>
                <w:szCs w:val="27"/>
              </w:rPr>
            </w:pPr>
            <w:r w:rsidRPr="00605C66">
              <w:rPr>
                <w:b/>
                <w:bCs/>
                <w:color w:val="000000"/>
                <w:szCs w:val="27"/>
              </w:rPr>
              <w:t>Toplam</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proofErr w:type="spellStart"/>
            <w:r w:rsidRPr="00605C66">
              <w:rPr>
                <w:color w:val="000000"/>
                <w:szCs w:val="27"/>
              </w:rPr>
              <w:t>Biyoistatistik</w:t>
            </w:r>
            <w:proofErr w:type="spellEnd"/>
            <w:r w:rsidRPr="00605C66">
              <w:rPr>
                <w:color w:val="000000"/>
                <w:szCs w:val="27"/>
              </w:rPr>
              <w:t xml:space="preserve"> </w:t>
            </w:r>
          </w:p>
        </w:tc>
        <w:tc>
          <w:tcPr>
            <w:tcW w:w="1551" w:type="dxa"/>
          </w:tcPr>
          <w:p w:rsidR="007F5C4E" w:rsidRPr="00605C66" w:rsidRDefault="007F5C4E" w:rsidP="00C061AC">
            <w:pPr>
              <w:pStyle w:val="NormalWeb"/>
              <w:rPr>
                <w:color w:val="000000"/>
                <w:szCs w:val="27"/>
              </w:rPr>
            </w:pPr>
            <w:r w:rsidRPr="00605C66">
              <w:rPr>
                <w:color w:val="000000"/>
                <w:szCs w:val="27"/>
              </w:rPr>
              <w:t>1</w:t>
            </w:r>
          </w:p>
        </w:tc>
        <w:tc>
          <w:tcPr>
            <w:tcW w:w="1562" w:type="dxa"/>
          </w:tcPr>
          <w:p w:rsidR="007F5C4E" w:rsidRPr="00605C66" w:rsidRDefault="007F5C4E" w:rsidP="00C061AC">
            <w:pPr>
              <w:pStyle w:val="NormalWeb"/>
              <w:rPr>
                <w:color w:val="000000"/>
                <w:szCs w:val="27"/>
              </w:rPr>
            </w:pPr>
            <w:r w:rsidRPr="00605C66">
              <w:rPr>
                <w:color w:val="000000"/>
                <w:szCs w:val="27"/>
              </w:rPr>
              <w:t>3</w:t>
            </w:r>
          </w:p>
        </w:tc>
        <w:tc>
          <w:tcPr>
            <w:tcW w:w="1555" w:type="dxa"/>
          </w:tcPr>
          <w:p w:rsidR="007F5C4E" w:rsidRPr="00605C66" w:rsidRDefault="007F5C4E" w:rsidP="00C061AC">
            <w:pPr>
              <w:pStyle w:val="NormalWeb"/>
              <w:rPr>
                <w:color w:val="000000"/>
                <w:szCs w:val="27"/>
              </w:rPr>
            </w:pPr>
            <w:r w:rsidRPr="00605C66">
              <w:rPr>
                <w:color w:val="000000"/>
                <w:szCs w:val="27"/>
              </w:rPr>
              <w:t>4</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Biyokimya</w:t>
            </w:r>
          </w:p>
        </w:tc>
        <w:tc>
          <w:tcPr>
            <w:tcW w:w="1551" w:type="dxa"/>
          </w:tcPr>
          <w:p w:rsidR="007F5C4E" w:rsidRPr="00605C66" w:rsidRDefault="007F5C4E" w:rsidP="00C061AC">
            <w:pPr>
              <w:pStyle w:val="NormalWeb"/>
              <w:rPr>
                <w:color w:val="000000"/>
                <w:szCs w:val="27"/>
              </w:rPr>
            </w:pPr>
            <w:r w:rsidRPr="00605C66">
              <w:rPr>
                <w:color w:val="000000"/>
                <w:szCs w:val="27"/>
              </w:rPr>
              <w:t>2</w:t>
            </w:r>
          </w:p>
        </w:tc>
        <w:tc>
          <w:tcPr>
            <w:tcW w:w="1562" w:type="dxa"/>
          </w:tcPr>
          <w:p w:rsidR="007F5C4E" w:rsidRPr="00605C66" w:rsidRDefault="007F5C4E" w:rsidP="00C061AC">
            <w:pPr>
              <w:pStyle w:val="NormalWeb"/>
              <w:rPr>
                <w:color w:val="000000"/>
                <w:szCs w:val="27"/>
              </w:rPr>
            </w:pPr>
            <w:r w:rsidRPr="00605C66">
              <w:rPr>
                <w:color w:val="000000"/>
                <w:szCs w:val="27"/>
              </w:rPr>
              <w:t>6</w:t>
            </w:r>
          </w:p>
        </w:tc>
        <w:tc>
          <w:tcPr>
            <w:tcW w:w="1555" w:type="dxa"/>
          </w:tcPr>
          <w:p w:rsidR="007F5C4E" w:rsidRPr="00605C66" w:rsidRDefault="007F5C4E" w:rsidP="00C061AC">
            <w:pPr>
              <w:pStyle w:val="NormalWeb"/>
              <w:rPr>
                <w:color w:val="000000"/>
                <w:szCs w:val="27"/>
              </w:rPr>
            </w:pPr>
            <w:r w:rsidRPr="00605C66">
              <w:rPr>
                <w:color w:val="000000"/>
                <w:szCs w:val="27"/>
              </w:rPr>
              <w:t>8</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Cerrahi </w:t>
            </w:r>
          </w:p>
        </w:tc>
        <w:tc>
          <w:tcPr>
            <w:tcW w:w="1551" w:type="dxa"/>
          </w:tcPr>
          <w:p w:rsidR="007F5C4E" w:rsidRPr="00605C66" w:rsidRDefault="007F5C4E" w:rsidP="00C061AC">
            <w:pPr>
              <w:pStyle w:val="NormalWeb"/>
              <w:rPr>
                <w:color w:val="000000"/>
                <w:szCs w:val="27"/>
              </w:rPr>
            </w:pPr>
            <w:r w:rsidRPr="00605C66">
              <w:rPr>
                <w:color w:val="000000"/>
                <w:szCs w:val="27"/>
              </w:rPr>
              <w:t>4</w:t>
            </w:r>
          </w:p>
        </w:tc>
        <w:tc>
          <w:tcPr>
            <w:tcW w:w="1562" w:type="dxa"/>
          </w:tcPr>
          <w:p w:rsidR="007F5C4E" w:rsidRPr="00605C66" w:rsidRDefault="007F5C4E" w:rsidP="00C061AC">
            <w:pPr>
              <w:pStyle w:val="NormalWeb"/>
              <w:rPr>
                <w:color w:val="000000"/>
                <w:szCs w:val="27"/>
              </w:rPr>
            </w:pPr>
            <w:r w:rsidRPr="00605C66">
              <w:rPr>
                <w:color w:val="000000"/>
                <w:szCs w:val="27"/>
              </w:rPr>
              <w:t>12</w:t>
            </w:r>
          </w:p>
        </w:tc>
        <w:tc>
          <w:tcPr>
            <w:tcW w:w="1555" w:type="dxa"/>
          </w:tcPr>
          <w:p w:rsidR="007F5C4E" w:rsidRPr="00605C66" w:rsidRDefault="007F5C4E" w:rsidP="00C061AC">
            <w:pPr>
              <w:pStyle w:val="NormalWeb"/>
              <w:rPr>
                <w:color w:val="000000"/>
                <w:szCs w:val="27"/>
              </w:rPr>
            </w:pPr>
            <w:r w:rsidRPr="00605C66">
              <w:rPr>
                <w:color w:val="000000"/>
                <w:szCs w:val="27"/>
              </w:rPr>
              <w:t>16</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Doğum ve Jinekoloji</w:t>
            </w:r>
          </w:p>
        </w:tc>
        <w:tc>
          <w:tcPr>
            <w:tcW w:w="1551" w:type="dxa"/>
          </w:tcPr>
          <w:p w:rsidR="007F5C4E" w:rsidRPr="00605C66" w:rsidRDefault="007F5C4E" w:rsidP="00C061AC">
            <w:pPr>
              <w:pStyle w:val="NormalWeb"/>
              <w:rPr>
                <w:color w:val="000000"/>
                <w:szCs w:val="27"/>
              </w:rPr>
            </w:pPr>
            <w:r w:rsidRPr="00605C66">
              <w:rPr>
                <w:color w:val="000000"/>
                <w:szCs w:val="27"/>
              </w:rPr>
              <w:t>4</w:t>
            </w:r>
          </w:p>
        </w:tc>
        <w:tc>
          <w:tcPr>
            <w:tcW w:w="1562" w:type="dxa"/>
          </w:tcPr>
          <w:p w:rsidR="007F5C4E" w:rsidRPr="00605C66" w:rsidRDefault="007F5C4E" w:rsidP="00C061AC">
            <w:pPr>
              <w:pStyle w:val="NormalWeb"/>
              <w:rPr>
                <w:color w:val="000000"/>
                <w:szCs w:val="27"/>
              </w:rPr>
            </w:pPr>
            <w:r w:rsidRPr="00605C66">
              <w:rPr>
                <w:color w:val="000000"/>
                <w:szCs w:val="27"/>
              </w:rPr>
              <w:t>12</w:t>
            </w:r>
          </w:p>
        </w:tc>
        <w:tc>
          <w:tcPr>
            <w:tcW w:w="1555" w:type="dxa"/>
          </w:tcPr>
          <w:p w:rsidR="007F5C4E" w:rsidRPr="00605C66" w:rsidRDefault="007F5C4E" w:rsidP="00C061AC">
            <w:pPr>
              <w:pStyle w:val="NormalWeb"/>
              <w:rPr>
                <w:color w:val="000000"/>
                <w:szCs w:val="27"/>
              </w:rPr>
            </w:pPr>
            <w:r w:rsidRPr="00605C66">
              <w:rPr>
                <w:color w:val="000000"/>
                <w:szCs w:val="27"/>
              </w:rPr>
              <w:t>16</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Farmakoloji ve Toksikoloji </w:t>
            </w:r>
          </w:p>
        </w:tc>
        <w:tc>
          <w:tcPr>
            <w:tcW w:w="1551" w:type="dxa"/>
          </w:tcPr>
          <w:p w:rsidR="007F5C4E" w:rsidRPr="00605C66" w:rsidRDefault="007F5C4E" w:rsidP="00C061AC">
            <w:pPr>
              <w:pStyle w:val="NormalWeb"/>
              <w:rPr>
                <w:color w:val="000000"/>
                <w:szCs w:val="27"/>
              </w:rPr>
            </w:pPr>
            <w:r w:rsidRPr="00605C66">
              <w:rPr>
                <w:color w:val="000000"/>
                <w:szCs w:val="27"/>
              </w:rPr>
              <w:t>2</w:t>
            </w:r>
          </w:p>
        </w:tc>
        <w:tc>
          <w:tcPr>
            <w:tcW w:w="1562" w:type="dxa"/>
          </w:tcPr>
          <w:p w:rsidR="007F5C4E" w:rsidRPr="00605C66" w:rsidRDefault="007F5C4E" w:rsidP="00C061AC">
            <w:pPr>
              <w:pStyle w:val="NormalWeb"/>
              <w:rPr>
                <w:color w:val="000000"/>
                <w:szCs w:val="27"/>
              </w:rPr>
            </w:pPr>
            <w:r w:rsidRPr="00605C66">
              <w:rPr>
                <w:color w:val="000000"/>
                <w:szCs w:val="27"/>
              </w:rPr>
              <w:t>6</w:t>
            </w:r>
          </w:p>
        </w:tc>
        <w:tc>
          <w:tcPr>
            <w:tcW w:w="1555" w:type="dxa"/>
          </w:tcPr>
          <w:p w:rsidR="007F5C4E" w:rsidRPr="00605C66" w:rsidRDefault="007F5C4E" w:rsidP="00C061AC">
            <w:pPr>
              <w:pStyle w:val="NormalWeb"/>
              <w:rPr>
                <w:color w:val="000000"/>
                <w:szCs w:val="27"/>
              </w:rPr>
            </w:pPr>
            <w:r w:rsidRPr="00605C66">
              <w:rPr>
                <w:color w:val="000000"/>
                <w:szCs w:val="27"/>
              </w:rPr>
              <w:t>8</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Fizyoloji </w:t>
            </w:r>
          </w:p>
        </w:tc>
        <w:tc>
          <w:tcPr>
            <w:tcW w:w="1551" w:type="dxa"/>
          </w:tcPr>
          <w:p w:rsidR="007F5C4E" w:rsidRPr="00605C66" w:rsidRDefault="007F5C4E" w:rsidP="00C061AC">
            <w:pPr>
              <w:pStyle w:val="NormalWeb"/>
              <w:rPr>
                <w:color w:val="000000"/>
                <w:szCs w:val="27"/>
              </w:rPr>
            </w:pPr>
            <w:r w:rsidRPr="00605C66">
              <w:rPr>
                <w:color w:val="000000"/>
                <w:szCs w:val="27"/>
              </w:rPr>
              <w:t>1</w:t>
            </w:r>
          </w:p>
        </w:tc>
        <w:tc>
          <w:tcPr>
            <w:tcW w:w="1562" w:type="dxa"/>
          </w:tcPr>
          <w:p w:rsidR="007F5C4E" w:rsidRPr="00605C66" w:rsidRDefault="007F5C4E" w:rsidP="00C061AC">
            <w:pPr>
              <w:pStyle w:val="NormalWeb"/>
              <w:rPr>
                <w:color w:val="000000"/>
                <w:szCs w:val="27"/>
              </w:rPr>
            </w:pPr>
            <w:r w:rsidRPr="00605C66">
              <w:rPr>
                <w:color w:val="000000"/>
                <w:szCs w:val="27"/>
              </w:rPr>
              <w:t>3</w:t>
            </w:r>
          </w:p>
        </w:tc>
        <w:tc>
          <w:tcPr>
            <w:tcW w:w="1555" w:type="dxa"/>
          </w:tcPr>
          <w:p w:rsidR="007F5C4E" w:rsidRPr="00605C66" w:rsidRDefault="007F5C4E" w:rsidP="00C061AC">
            <w:pPr>
              <w:pStyle w:val="NormalWeb"/>
              <w:rPr>
                <w:color w:val="000000"/>
                <w:szCs w:val="27"/>
              </w:rPr>
            </w:pPr>
            <w:r w:rsidRPr="00605C66">
              <w:rPr>
                <w:color w:val="000000"/>
                <w:szCs w:val="27"/>
              </w:rPr>
              <w:t>4</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Gıda Hijyeni ve Teknolojisi</w:t>
            </w:r>
          </w:p>
        </w:tc>
        <w:tc>
          <w:tcPr>
            <w:tcW w:w="1551" w:type="dxa"/>
          </w:tcPr>
          <w:p w:rsidR="007F5C4E" w:rsidRPr="00605C66" w:rsidRDefault="007F5C4E" w:rsidP="00C061AC">
            <w:pPr>
              <w:pStyle w:val="NormalWeb"/>
              <w:rPr>
                <w:color w:val="000000"/>
                <w:szCs w:val="27"/>
              </w:rPr>
            </w:pPr>
            <w:r w:rsidRPr="00605C66">
              <w:rPr>
                <w:color w:val="000000"/>
                <w:szCs w:val="27"/>
              </w:rPr>
              <w:t>4</w:t>
            </w:r>
          </w:p>
        </w:tc>
        <w:tc>
          <w:tcPr>
            <w:tcW w:w="1562" w:type="dxa"/>
          </w:tcPr>
          <w:p w:rsidR="007F5C4E" w:rsidRPr="00605C66" w:rsidRDefault="007F5C4E" w:rsidP="00C061AC">
            <w:pPr>
              <w:pStyle w:val="NormalWeb"/>
              <w:rPr>
                <w:color w:val="000000"/>
                <w:szCs w:val="27"/>
              </w:rPr>
            </w:pPr>
            <w:r w:rsidRPr="00605C66">
              <w:rPr>
                <w:color w:val="000000"/>
                <w:szCs w:val="27"/>
              </w:rPr>
              <w:t>12</w:t>
            </w:r>
          </w:p>
        </w:tc>
        <w:tc>
          <w:tcPr>
            <w:tcW w:w="1555" w:type="dxa"/>
          </w:tcPr>
          <w:p w:rsidR="007F5C4E" w:rsidRPr="00605C66" w:rsidRDefault="007F5C4E" w:rsidP="00C061AC">
            <w:pPr>
              <w:pStyle w:val="NormalWeb"/>
              <w:rPr>
                <w:color w:val="000000"/>
                <w:szCs w:val="27"/>
              </w:rPr>
            </w:pPr>
            <w:r w:rsidRPr="00605C66">
              <w:rPr>
                <w:color w:val="000000"/>
                <w:szCs w:val="27"/>
              </w:rPr>
              <w:t>16</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Hayvan Besleme ve Beslenme Hastalıkları</w:t>
            </w:r>
          </w:p>
        </w:tc>
        <w:tc>
          <w:tcPr>
            <w:tcW w:w="1551" w:type="dxa"/>
          </w:tcPr>
          <w:p w:rsidR="007F5C4E" w:rsidRPr="00605C66" w:rsidRDefault="007F5C4E" w:rsidP="00C061AC">
            <w:pPr>
              <w:pStyle w:val="NormalWeb"/>
              <w:rPr>
                <w:color w:val="000000"/>
                <w:szCs w:val="27"/>
              </w:rPr>
            </w:pPr>
            <w:r w:rsidRPr="00605C66">
              <w:rPr>
                <w:color w:val="000000"/>
                <w:szCs w:val="27"/>
              </w:rPr>
              <w:t>4</w:t>
            </w:r>
          </w:p>
        </w:tc>
        <w:tc>
          <w:tcPr>
            <w:tcW w:w="1562" w:type="dxa"/>
          </w:tcPr>
          <w:p w:rsidR="007F5C4E" w:rsidRPr="00605C66" w:rsidRDefault="007F5C4E" w:rsidP="00C061AC">
            <w:pPr>
              <w:pStyle w:val="NormalWeb"/>
              <w:rPr>
                <w:color w:val="000000"/>
                <w:szCs w:val="27"/>
              </w:rPr>
            </w:pPr>
            <w:r w:rsidRPr="00605C66">
              <w:rPr>
                <w:color w:val="000000"/>
                <w:szCs w:val="27"/>
              </w:rPr>
              <w:t>12</w:t>
            </w:r>
          </w:p>
        </w:tc>
        <w:tc>
          <w:tcPr>
            <w:tcW w:w="1555" w:type="dxa"/>
          </w:tcPr>
          <w:p w:rsidR="007F5C4E" w:rsidRPr="00605C66" w:rsidRDefault="007F5C4E" w:rsidP="00C061AC">
            <w:pPr>
              <w:pStyle w:val="NormalWeb"/>
              <w:rPr>
                <w:color w:val="000000"/>
                <w:szCs w:val="27"/>
              </w:rPr>
            </w:pPr>
            <w:r w:rsidRPr="00605C66">
              <w:rPr>
                <w:color w:val="000000"/>
                <w:szCs w:val="27"/>
              </w:rPr>
              <w:t>16</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Hayvan Sağlığı Ekonomisi ve İşletmeciliği </w:t>
            </w:r>
          </w:p>
        </w:tc>
        <w:tc>
          <w:tcPr>
            <w:tcW w:w="1551" w:type="dxa"/>
          </w:tcPr>
          <w:p w:rsidR="007F5C4E" w:rsidRPr="00605C66" w:rsidRDefault="007F5C4E" w:rsidP="00C061AC">
            <w:pPr>
              <w:pStyle w:val="NormalWeb"/>
              <w:rPr>
                <w:color w:val="000000"/>
                <w:szCs w:val="27"/>
              </w:rPr>
            </w:pPr>
            <w:r w:rsidRPr="00605C66">
              <w:rPr>
                <w:color w:val="000000"/>
                <w:szCs w:val="27"/>
              </w:rPr>
              <w:t>1</w:t>
            </w:r>
          </w:p>
        </w:tc>
        <w:tc>
          <w:tcPr>
            <w:tcW w:w="1562" w:type="dxa"/>
          </w:tcPr>
          <w:p w:rsidR="007F5C4E" w:rsidRPr="00605C66" w:rsidRDefault="007F5C4E" w:rsidP="00C061AC">
            <w:pPr>
              <w:pStyle w:val="NormalWeb"/>
              <w:rPr>
                <w:color w:val="000000"/>
                <w:szCs w:val="27"/>
              </w:rPr>
            </w:pPr>
            <w:r w:rsidRPr="00605C66">
              <w:rPr>
                <w:color w:val="000000"/>
                <w:szCs w:val="27"/>
              </w:rPr>
              <w:t>3</w:t>
            </w:r>
          </w:p>
        </w:tc>
        <w:tc>
          <w:tcPr>
            <w:tcW w:w="1555" w:type="dxa"/>
          </w:tcPr>
          <w:p w:rsidR="007F5C4E" w:rsidRPr="00605C66" w:rsidRDefault="007F5C4E" w:rsidP="00C061AC">
            <w:pPr>
              <w:pStyle w:val="NormalWeb"/>
              <w:rPr>
                <w:color w:val="000000"/>
                <w:szCs w:val="27"/>
              </w:rPr>
            </w:pPr>
            <w:r w:rsidRPr="00605C66">
              <w:rPr>
                <w:color w:val="000000"/>
                <w:szCs w:val="27"/>
              </w:rPr>
              <w:t>4</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İç Hastalıkları </w:t>
            </w:r>
          </w:p>
        </w:tc>
        <w:tc>
          <w:tcPr>
            <w:tcW w:w="1551" w:type="dxa"/>
          </w:tcPr>
          <w:p w:rsidR="007F5C4E" w:rsidRPr="00605C66" w:rsidRDefault="007F5C4E" w:rsidP="00C061AC">
            <w:pPr>
              <w:pStyle w:val="NormalWeb"/>
              <w:rPr>
                <w:color w:val="000000"/>
                <w:szCs w:val="27"/>
              </w:rPr>
            </w:pPr>
            <w:r w:rsidRPr="00605C66">
              <w:rPr>
                <w:color w:val="000000"/>
                <w:szCs w:val="27"/>
              </w:rPr>
              <w:t>4</w:t>
            </w:r>
          </w:p>
        </w:tc>
        <w:tc>
          <w:tcPr>
            <w:tcW w:w="1562" w:type="dxa"/>
          </w:tcPr>
          <w:p w:rsidR="007F5C4E" w:rsidRPr="00605C66" w:rsidRDefault="007F5C4E" w:rsidP="00C061AC">
            <w:pPr>
              <w:pStyle w:val="NormalWeb"/>
              <w:rPr>
                <w:color w:val="000000"/>
                <w:szCs w:val="27"/>
              </w:rPr>
            </w:pPr>
            <w:r w:rsidRPr="00605C66">
              <w:rPr>
                <w:color w:val="000000"/>
                <w:szCs w:val="27"/>
              </w:rPr>
              <w:t>12</w:t>
            </w:r>
          </w:p>
        </w:tc>
        <w:tc>
          <w:tcPr>
            <w:tcW w:w="1555" w:type="dxa"/>
          </w:tcPr>
          <w:p w:rsidR="007F5C4E" w:rsidRPr="00605C66" w:rsidRDefault="007F5C4E" w:rsidP="00C061AC">
            <w:pPr>
              <w:pStyle w:val="NormalWeb"/>
              <w:rPr>
                <w:color w:val="000000"/>
                <w:szCs w:val="27"/>
              </w:rPr>
            </w:pPr>
            <w:r w:rsidRPr="00605C66">
              <w:rPr>
                <w:color w:val="000000"/>
                <w:szCs w:val="27"/>
              </w:rPr>
              <w:t>16</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Mikrobiyoloji</w:t>
            </w:r>
          </w:p>
        </w:tc>
        <w:tc>
          <w:tcPr>
            <w:tcW w:w="1551" w:type="dxa"/>
          </w:tcPr>
          <w:p w:rsidR="007F5C4E" w:rsidRPr="00605C66" w:rsidRDefault="007F5C4E" w:rsidP="00C061AC">
            <w:pPr>
              <w:pStyle w:val="NormalWeb"/>
              <w:rPr>
                <w:color w:val="000000"/>
                <w:szCs w:val="27"/>
              </w:rPr>
            </w:pPr>
            <w:r w:rsidRPr="00605C66">
              <w:rPr>
                <w:color w:val="000000"/>
                <w:szCs w:val="27"/>
              </w:rPr>
              <w:t>2</w:t>
            </w:r>
          </w:p>
        </w:tc>
        <w:tc>
          <w:tcPr>
            <w:tcW w:w="1562" w:type="dxa"/>
          </w:tcPr>
          <w:p w:rsidR="007F5C4E" w:rsidRPr="00605C66" w:rsidRDefault="007F5C4E" w:rsidP="00C061AC">
            <w:pPr>
              <w:pStyle w:val="NormalWeb"/>
              <w:rPr>
                <w:color w:val="000000"/>
                <w:szCs w:val="27"/>
              </w:rPr>
            </w:pPr>
            <w:r w:rsidRPr="00605C66">
              <w:rPr>
                <w:color w:val="000000"/>
                <w:szCs w:val="27"/>
              </w:rPr>
              <w:t>6</w:t>
            </w:r>
          </w:p>
        </w:tc>
        <w:tc>
          <w:tcPr>
            <w:tcW w:w="1555" w:type="dxa"/>
          </w:tcPr>
          <w:p w:rsidR="007F5C4E" w:rsidRPr="00605C66" w:rsidRDefault="007F5C4E" w:rsidP="00C061AC">
            <w:pPr>
              <w:pStyle w:val="NormalWeb"/>
              <w:rPr>
                <w:color w:val="000000"/>
                <w:szCs w:val="27"/>
              </w:rPr>
            </w:pPr>
            <w:r w:rsidRPr="00605C66">
              <w:rPr>
                <w:color w:val="000000"/>
                <w:szCs w:val="27"/>
              </w:rPr>
              <w:t>8</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Parazitoloji </w:t>
            </w:r>
          </w:p>
        </w:tc>
        <w:tc>
          <w:tcPr>
            <w:tcW w:w="1551" w:type="dxa"/>
          </w:tcPr>
          <w:p w:rsidR="007F5C4E" w:rsidRPr="00605C66" w:rsidRDefault="007F5C4E" w:rsidP="00C061AC">
            <w:pPr>
              <w:pStyle w:val="NormalWeb"/>
              <w:rPr>
                <w:color w:val="000000"/>
                <w:szCs w:val="27"/>
              </w:rPr>
            </w:pPr>
            <w:r w:rsidRPr="00605C66">
              <w:rPr>
                <w:color w:val="000000"/>
                <w:szCs w:val="27"/>
              </w:rPr>
              <w:t>1</w:t>
            </w:r>
          </w:p>
        </w:tc>
        <w:tc>
          <w:tcPr>
            <w:tcW w:w="1562" w:type="dxa"/>
          </w:tcPr>
          <w:p w:rsidR="007F5C4E" w:rsidRPr="00605C66" w:rsidRDefault="007F5C4E" w:rsidP="00C061AC">
            <w:pPr>
              <w:pStyle w:val="NormalWeb"/>
              <w:rPr>
                <w:color w:val="000000"/>
                <w:szCs w:val="27"/>
              </w:rPr>
            </w:pPr>
            <w:r w:rsidRPr="00605C66">
              <w:rPr>
                <w:color w:val="000000"/>
                <w:szCs w:val="27"/>
              </w:rPr>
              <w:t>3</w:t>
            </w:r>
          </w:p>
        </w:tc>
        <w:tc>
          <w:tcPr>
            <w:tcW w:w="1555" w:type="dxa"/>
          </w:tcPr>
          <w:p w:rsidR="007F5C4E" w:rsidRPr="00605C66" w:rsidRDefault="007F5C4E" w:rsidP="00C061AC">
            <w:pPr>
              <w:pStyle w:val="NormalWeb"/>
              <w:rPr>
                <w:color w:val="000000"/>
                <w:szCs w:val="27"/>
              </w:rPr>
            </w:pPr>
            <w:r w:rsidRPr="00605C66">
              <w:rPr>
                <w:color w:val="000000"/>
                <w:szCs w:val="27"/>
              </w:rPr>
              <w:t>4</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Patoloji </w:t>
            </w:r>
          </w:p>
        </w:tc>
        <w:tc>
          <w:tcPr>
            <w:tcW w:w="1551" w:type="dxa"/>
          </w:tcPr>
          <w:p w:rsidR="007F5C4E" w:rsidRPr="00605C66" w:rsidRDefault="007F5C4E" w:rsidP="00C061AC">
            <w:pPr>
              <w:pStyle w:val="NormalWeb"/>
              <w:rPr>
                <w:color w:val="000000"/>
                <w:szCs w:val="27"/>
              </w:rPr>
            </w:pPr>
            <w:r w:rsidRPr="00605C66">
              <w:rPr>
                <w:color w:val="000000"/>
                <w:szCs w:val="27"/>
              </w:rPr>
              <w:t>2</w:t>
            </w:r>
          </w:p>
        </w:tc>
        <w:tc>
          <w:tcPr>
            <w:tcW w:w="1562" w:type="dxa"/>
          </w:tcPr>
          <w:p w:rsidR="007F5C4E" w:rsidRPr="00605C66" w:rsidRDefault="007F5C4E" w:rsidP="00C061AC">
            <w:pPr>
              <w:pStyle w:val="NormalWeb"/>
              <w:rPr>
                <w:color w:val="000000"/>
                <w:szCs w:val="27"/>
              </w:rPr>
            </w:pPr>
            <w:r w:rsidRPr="00605C66">
              <w:rPr>
                <w:color w:val="000000"/>
                <w:szCs w:val="27"/>
              </w:rPr>
              <w:t>6</w:t>
            </w:r>
          </w:p>
        </w:tc>
        <w:tc>
          <w:tcPr>
            <w:tcW w:w="1555" w:type="dxa"/>
          </w:tcPr>
          <w:p w:rsidR="007F5C4E" w:rsidRPr="00605C66" w:rsidRDefault="007F5C4E" w:rsidP="00C061AC">
            <w:pPr>
              <w:pStyle w:val="NormalWeb"/>
              <w:rPr>
                <w:color w:val="000000"/>
                <w:szCs w:val="27"/>
              </w:rPr>
            </w:pPr>
            <w:r w:rsidRPr="00605C66">
              <w:rPr>
                <w:color w:val="000000"/>
                <w:szCs w:val="27"/>
              </w:rPr>
              <w:t>8</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Reprodüksiyon, Suni Tohumlama ve </w:t>
            </w:r>
            <w:proofErr w:type="spellStart"/>
            <w:r w:rsidRPr="00605C66">
              <w:rPr>
                <w:color w:val="000000"/>
                <w:szCs w:val="27"/>
              </w:rPr>
              <w:t>Androloji</w:t>
            </w:r>
            <w:proofErr w:type="spellEnd"/>
          </w:p>
        </w:tc>
        <w:tc>
          <w:tcPr>
            <w:tcW w:w="1551" w:type="dxa"/>
          </w:tcPr>
          <w:p w:rsidR="007F5C4E" w:rsidRPr="00605C66" w:rsidRDefault="007F5C4E" w:rsidP="00C061AC">
            <w:pPr>
              <w:pStyle w:val="NormalWeb"/>
              <w:rPr>
                <w:color w:val="000000"/>
                <w:szCs w:val="27"/>
              </w:rPr>
            </w:pPr>
            <w:r w:rsidRPr="00605C66">
              <w:rPr>
                <w:color w:val="000000"/>
                <w:szCs w:val="27"/>
              </w:rPr>
              <w:t>3</w:t>
            </w:r>
          </w:p>
        </w:tc>
        <w:tc>
          <w:tcPr>
            <w:tcW w:w="1562" w:type="dxa"/>
          </w:tcPr>
          <w:p w:rsidR="007F5C4E" w:rsidRPr="00605C66" w:rsidRDefault="007F5C4E" w:rsidP="00C061AC">
            <w:pPr>
              <w:pStyle w:val="NormalWeb"/>
              <w:rPr>
                <w:color w:val="000000"/>
                <w:szCs w:val="27"/>
              </w:rPr>
            </w:pPr>
            <w:r w:rsidRPr="00605C66">
              <w:rPr>
                <w:color w:val="000000"/>
                <w:szCs w:val="27"/>
              </w:rPr>
              <w:t>9</w:t>
            </w:r>
          </w:p>
        </w:tc>
        <w:tc>
          <w:tcPr>
            <w:tcW w:w="1555" w:type="dxa"/>
          </w:tcPr>
          <w:p w:rsidR="007F5C4E" w:rsidRPr="00605C66" w:rsidRDefault="007F5C4E" w:rsidP="00C061AC">
            <w:pPr>
              <w:pStyle w:val="NormalWeb"/>
              <w:rPr>
                <w:color w:val="000000"/>
                <w:szCs w:val="27"/>
              </w:rPr>
            </w:pPr>
            <w:r w:rsidRPr="00605C66">
              <w:rPr>
                <w:color w:val="000000"/>
                <w:szCs w:val="27"/>
              </w:rPr>
              <w:t>12</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Viroloji </w:t>
            </w:r>
          </w:p>
        </w:tc>
        <w:tc>
          <w:tcPr>
            <w:tcW w:w="1551" w:type="dxa"/>
          </w:tcPr>
          <w:p w:rsidR="007F5C4E" w:rsidRPr="00605C66" w:rsidRDefault="007F5C4E" w:rsidP="00C061AC">
            <w:pPr>
              <w:pStyle w:val="NormalWeb"/>
              <w:rPr>
                <w:color w:val="000000"/>
                <w:szCs w:val="27"/>
              </w:rPr>
            </w:pPr>
            <w:r w:rsidRPr="00605C66">
              <w:rPr>
                <w:color w:val="000000"/>
                <w:szCs w:val="27"/>
              </w:rPr>
              <w:t>1</w:t>
            </w:r>
          </w:p>
        </w:tc>
        <w:tc>
          <w:tcPr>
            <w:tcW w:w="1562" w:type="dxa"/>
          </w:tcPr>
          <w:p w:rsidR="007F5C4E" w:rsidRPr="00605C66" w:rsidRDefault="007F5C4E" w:rsidP="00C061AC">
            <w:pPr>
              <w:pStyle w:val="NormalWeb"/>
              <w:rPr>
                <w:color w:val="000000"/>
                <w:szCs w:val="27"/>
              </w:rPr>
            </w:pPr>
            <w:r w:rsidRPr="00605C66">
              <w:rPr>
                <w:color w:val="000000"/>
                <w:szCs w:val="27"/>
              </w:rPr>
              <w:t>3</w:t>
            </w:r>
          </w:p>
        </w:tc>
        <w:tc>
          <w:tcPr>
            <w:tcW w:w="1555" w:type="dxa"/>
          </w:tcPr>
          <w:p w:rsidR="007F5C4E" w:rsidRPr="00605C66" w:rsidRDefault="007F5C4E" w:rsidP="00C061AC">
            <w:pPr>
              <w:pStyle w:val="NormalWeb"/>
              <w:rPr>
                <w:color w:val="000000"/>
                <w:szCs w:val="27"/>
              </w:rPr>
            </w:pPr>
            <w:r w:rsidRPr="00605C66">
              <w:rPr>
                <w:color w:val="000000"/>
                <w:szCs w:val="27"/>
              </w:rPr>
              <w:t>4</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r w:rsidRPr="00605C66">
              <w:rPr>
                <w:color w:val="000000"/>
                <w:szCs w:val="27"/>
              </w:rPr>
              <w:t xml:space="preserve">Zootekni </w:t>
            </w:r>
          </w:p>
        </w:tc>
        <w:tc>
          <w:tcPr>
            <w:tcW w:w="1551" w:type="dxa"/>
          </w:tcPr>
          <w:p w:rsidR="007F5C4E" w:rsidRPr="00605C66" w:rsidRDefault="007F5C4E" w:rsidP="00C061AC">
            <w:pPr>
              <w:pStyle w:val="NormalWeb"/>
              <w:rPr>
                <w:color w:val="000000"/>
                <w:szCs w:val="27"/>
              </w:rPr>
            </w:pPr>
            <w:r w:rsidRPr="00605C66">
              <w:rPr>
                <w:color w:val="000000"/>
                <w:szCs w:val="27"/>
              </w:rPr>
              <w:t>4</w:t>
            </w:r>
          </w:p>
        </w:tc>
        <w:tc>
          <w:tcPr>
            <w:tcW w:w="1562" w:type="dxa"/>
          </w:tcPr>
          <w:p w:rsidR="007F5C4E" w:rsidRPr="00605C66" w:rsidRDefault="007F5C4E" w:rsidP="00C061AC">
            <w:pPr>
              <w:pStyle w:val="NormalWeb"/>
              <w:rPr>
                <w:color w:val="000000"/>
                <w:szCs w:val="27"/>
              </w:rPr>
            </w:pPr>
            <w:r w:rsidRPr="00605C66">
              <w:rPr>
                <w:color w:val="000000"/>
                <w:szCs w:val="27"/>
              </w:rPr>
              <w:t>12</w:t>
            </w:r>
          </w:p>
        </w:tc>
        <w:tc>
          <w:tcPr>
            <w:tcW w:w="1555" w:type="dxa"/>
          </w:tcPr>
          <w:p w:rsidR="007F5C4E" w:rsidRPr="00605C66" w:rsidRDefault="007F5C4E" w:rsidP="00C061AC">
            <w:pPr>
              <w:pStyle w:val="NormalWeb"/>
              <w:rPr>
                <w:color w:val="000000"/>
                <w:szCs w:val="27"/>
              </w:rPr>
            </w:pPr>
            <w:r w:rsidRPr="00605C66">
              <w:rPr>
                <w:color w:val="000000"/>
                <w:szCs w:val="27"/>
              </w:rPr>
              <w:t>16</w:t>
            </w:r>
          </w:p>
        </w:tc>
      </w:tr>
      <w:tr w:rsidR="007F5C4E" w:rsidRPr="00605C66" w:rsidTr="00C061AC">
        <w:trPr>
          <w:trHeight w:hRule="exact" w:val="340"/>
        </w:trPr>
        <w:tc>
          <w:tcPr>
            <w:tcW w:w="4820" w:type="dxa"/>
          </w:tcPr>
          <w:p w:rsidR="007F5C4E" w:rsidRPr="00605C66" w:rsidRDefault="007F5C4E" w:rsidP="00C061AC">
            <w:pPr>
              <w:pStyle w:val="NormalWeb"/>
              <w:rPr>
                <w:color w:val="000000"/>
                <w:szCs w:val="27"/>
              </w:rPr>
            </w:pPr>
            <w:proofErr w:type="spellStart"/>
            <w:r w:rsidRPr="00605C66">
              <w:rPr>
                <w:color w:val="000000"/>
                <w:szCs w:val="27"/>
              </w:rPr>
              <w:t>Ekstörn</w:t>
            </w:r>
            <w:proofErr w:type="spellEnd"/>
            <w:r w:rsidRPr="00605C66">
              <w:rPr>
                <w:color w:val="000000"/>
                <w:szCs w:val="27"/>
              </w:rPr>
              <w:t xml:space="preserve"> eğitimi</w:t>
            </w:r>
          </w:p>
        </w:tc>
        <w:tc>
          <w:tcPr>
            <w:tcW w:w="1551" w:type="dxa"/>
          </w:tcPr>
          <w:p w:rsidR="007F5C4E" w:rsidRPr="00605C66" w:rsidRDefault="007F5C4E" w:rsidP="00C061AC">
            <w:pPr>
              <w:pStyle w:val="NormalWeb"/>
              <w:rPr>
                <w:color w:val="000000"/>
                <w:szCs w:val="27"/>
              </w:rPr>
            </w:pPr>
            <w:r w:rsidRPr="00605C66">
              <w:rPr>
                <w:color w:val="000000"/>
                <w:szCs w:val="27"/>
              </w:rPr>
              <w:t>0</w:t>
            </w:r>
          </w:p>
        </w:tc>
        <w:tc>
          <w:tcPr>
            <w:tcW w:w="1562" w:type="dxa"/>
          </w:tcPr>
          <w:p w:rsidR="007F5C4E" w:rsidRPr="00605C66" w:rsidRDefault="007F5C4E" w:rsidP="00C061AC">
            <w:pPr>
              <w:pStyle w:val="NormalWeb"/>
              <w:rPr>
                <w:color w:val="000000"/>
                <w:szCs w:val="27"/>
              </w:rPr>
            </w:pPr>
            <w:r w:rsidRPr="00605C66">
              <w:rPr>
                <w:color w:val="000000"/>
                <w:szCs w:val="27"/>
              </w:rPr>
              <w:t>8</w:t>
            </w:r>
          </w:p>
        </w:tc>
        <w:tc>
          <w:tcPr>
            <w:tcW w:w="1555" w:type="dxa"/>
          </w:tcPr>
          <w:p w:rsidR="007F5C4E" w:rsidRPr="00605C66" w:rsidRDefault="007F5C4E" w:rsidP="00C061AC">
            <w:pPr>
              <w:pStyle w:val="NormalWeb"/>
              <w:rPr>
                <w:color w:val="000000"/>
                <w:szCs w:val="27"/>
              </w:rPr>
            </w:pPr>
            <w:r w:rsidRPr="00605C66">
              <w:rPr>
                <w:color w:val="000000"/>
                <w:szCs w:val="27"/>
              </w:rPr>
              <w:t>8</w:t>
            </w:r>
          </w:p>
        </w:tc>
      </w:tr>
      <w:tr w:rsidR="007F5C4E" w:rsidRPr="00605C66" w:rsidTr="00C061AC">
        <w:trPr>
          <w:trHeight w:hRule="exact" w:val="340"/>
        </w:trPr>
        <w:tc>
          <w:tcPr>
            <w:tcW w:w="4820" w:type="dxa"/>
            <w:vAlign w:val="center"/>
          </w:tcPr>
          <w:p w:rsidR="007F5C4E" w:rsidRPr="00605C66" w:rsidRDefault="007F5C4E" w:rsidP="00C061AC">
            <w:pPr>
              <w:pStyle w:val="NormalWeb"/>
              <w:rPr>
                <w:color w:val="000000"/>
                <w:szCs w:val="27"/>
              </w:rPr>
            </w:pPr>
            <w:r w:rsidRPr="00605C66">
              <w:rPr>
                <w:b/>
                <w:bCs/>
                <w:color w:val="000000"/>
                <w:szCs w:val="27"/>
              </w:rPr>
              <w:t xml:space="preserve">Toplam </w:t>
            </w:r>
          </w:p>
        </w:tc>
        <w:tc>
          <w:tcPr>
            <w:tcW w:w="1551" w:type="dxa"/>
            <w:vAlign w:val="center"/>
          </w:tcPr>
          <w:p w:rsidR="007F5C4E" w:rsidRPr="00605C66" w:rsidRDefault="007F5C4E" w:rsidP="00C061AC">
            <w:pPr>
              <w:pStyle w:val="NormalWeb"/>
              <w:rPr>
                <w:color w:val="000000"/>
                <w:szCs w:val="27"/>
              </w:rPr>
            </w:pPr>
            <w:r w:rsidRPr="00605C66">
              <w:rPr>
                <w:b/>
                <w:bCs/>
                <w:color w:val="000000"/>
                <w:szCs w:val="27"/>
              </w:rPr>
              <w:t>40</w:t>
            </w:r>
          </w:p>
        </w:tc>
        <w:tc>
          <w:tcPr>
            <w:tcW w:w="1562" w:type="dxa"/>
            <w:vAlign w:val="center"/>
          </w:tcPr>
          <w:p w:rsidR="007F5C4E" w:rsidRPr="00605C66" w:rsidRDefault="007F5C4E" w:rsidP="00C061AC">
            <w:pPr>
              <w:pStyle w:val="NormalWeb"/>
              <w:rPr>
                <w:color w:val="000000"/>
                <w:szCs w:val="27"/>
              </w:rPr>
            </w:pPr>
            <w:r w:rsidRPr="00605C66">
              <w:rPr>
                <w:b/>
                <w:bCs/>
                <w:color w:val="000000"/>
                <w:szCs w:val="27"/>
              </w:rPr>
              <w:t>128</w:t>
            </w:r>
          </w:p>
        </w:tc>
        <w:tc>
          <w:tcPr>
            <w:tcW w:w="1555" w:type="dxa"/>
            <w:vAlign w:val="center"/>
          </w:tcPr>
          <w:p w:rsidR="007F5C4E" w:rsidRPr="00605C66" w:rsidRDefault="007F5C4E" w:rsidP="00C061AC">
            <w:pPr>
              <w:pStyle w:val="NormalWeb"/>
              <w:rPr>
                <w:b/>
                <w:bCs/>
                <w:color w:val="000000"/>
                <w:szCs w:val="27"/>
              </w:rPr>
            </w:pPr>
            <w:r w:rsidRPr="00605C66">
              <w:rPr>
                <w:b/>
                <w:bCs/>
                <w:color w:val="000000"/>
                <w:szCs w:val="27"/>
              </w:rPr>
              <w:t>168</w:t>
            </w:r>
          </w:p>
        </w:tc>
      </w:tr>
    </w:tbl>
    <w:p w:rsidR="007F5C4E" w:rsidRDefault="007F5C4E" w:rsidP="007F5C4E">
      <w:pPr>
        <w:jc w:val="both"/>
        <w:rPr>
          <w:rFonts w:ascii="Times New Roman" w:hAnsi="Times New Roman" w:cs="Times New Roman"/>
          <w:b/>
        </w:rPr>
      </w:pPr>
    </w:p>
    <w:p w:rsidR="007F5C4E" w:rsidRPr="006759D7" w:rsidRDefault="007F5C4E" w:rsidP="007F5C4E">
      <w:pPr>
        <w:jc w:val="both"/>
        <w:rPr>
          <w:rFonts w:ascii="Times New Roman" w:hAnsi="Times New Roman" w:cs="Times New Roman"/>
          <w:color w:val="000000"/>
        </w:rPr>
      </w:pPr>
      <w:r w:rsidRPr="003D3313">
        <w:rPr>
          <w:rFonts w:ascii="Times New Roman" w:hAnsi="Times New Roman" w:cs="Times New Roman"/>
          <w:b/>
        </w:rPr>
        <w:t xml:space="preserve">MADDE 11- MADDE 11- </w:t>
      </w:r>
      <w:r>
        <w:rPr>
          <w:rFonts w:ascii="Times New Roman" w:hAnsi="Times New Roman" w:cs="Times New Roman"/>
          <w:color w:val="000000"/>
        </w:rPr>
        <w:t xml:space="preserve">VEHİP dersleri hafta içi 08.00-16.45 saatleri arasında yapılır.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VEHİP dersleri dışında hastane bünyesinde başhekimlik tarafından belirlenen gün ve saatlerde hastane acil hizmetlerine (nöbet tutmak üzere) katılmak zorundadır. Mazereti nedeniyle nöbet kaçıran öğrencilerin mazeretleri başhekimlik tarafından kabul edilmesi halinde belirlenen zamanda telafi nöbeti tutar. Nöbet eksiği bulunan öğrenciler </w:t>
      </w:r>
      <w:proofErr w:type="spellStart"/>
      <w:r>
        <w:rPr>
          <w:rFonts w:ascii="Times New Roman" w:hAnsi="Times New Roman" w:cs="Times New Roman"/>
          <w:color w:val="000000"/>
        </w:rPr>
        <w:t>VEHİP’ten</w:t>
      </w:r>
      <w:proofErr w:type="spellEnd"/>
      <w:r>
        <w:rPr>
          <w:rFonts w:ascii="Times New Roman" w:hAnsi="Times New Roman" w:cs="Times New Roman"/>
          <w:color w:val="000000"/>
        </w:rPr>
        <w:t xml:space="preserve"> başarısız olmuş sayılır.</w:t>
      </w:r>
    </w:p>
    <w:p w:rsidR="007F5C4E" w:rsidRPr="006759D7" w:rsidRDefault="007F5C4E" w:rsidP="007F5C4E">
      <w:pPr>
        <w:jc w:val="both"/>
        <w:rPr>
          <w:rFonts w:ascii="Times New Roman" w:hAnsi="Times New Roman" w:cs="Times New Roman"/>
          <w:color w:val="000000"/>
        </w:rPr>
      </w:pPr>
      <w:r>
        <w:rPr>
          <w:rFonts w:ascii="Times New Roman" w:hAnsi="Times New Roman" w:cs="Times New Roman"/>
          <w:b/>
        </w:rPr>
        <w:t>MADDE 12-</w:t>
      </w:r>
      <w:r>
        <w:rPr>
          <w:rFonts w:ascii="Times New Roman" w:hAnsi="Times New Roman" w:cs="Times New Roman"/>
        </w:rPr>
        <w:t xml:space="preserve"> </w:t>
      </w:r>
      <w:r>
        <w:rPr>
          <w:rFonts w:ascii="Times New Roman" w:hAnsi="Times New Roman" w:cs="Times New Roman"/>
          <w:color w:val="000000"/>
        </w:rPr>
        <w:t xml:space="preserve">VEHİP öğrencilerinin listesi, grupları ve rotasyonları Staj ve </w:t>
      </w:r>
      <w:proofErr w:type="spellStart"/>
      <w:r>
        <w:rPr>
          <w:rFonts w:ascii="Times New Roman" w:hAnsi="Times New Roman" w:cs="Times New Roman"/>
          <w:color w:val="000000"/>
        </w:rPr>
        <w:t>İntörn</w:t>
      </w:r>
      <w:proofErr w:type="spellEnd"/>
      <w:r>
        <w:rPr>
          <w:rFonts w:ascii="Times New Roman" w:hAnsi="Times New Roman" w:cs="Times New Roman"/>
          <w:color w:val="000000"/>
        </w:rPr>
        <w:t xml:space="preserve"> Eğitim Komisyonu tarafından düzenlenir.</w:t>
      </w:r>
    </w:p>
    <w:p w:rsidR="007F5C4E" w:rsidRDefault="007F5C4E" w:rsidP="007F5C4E">
      <w:pPr>
        <w:jc w:val="both"/>
        <w:rPr>
          <w:rFonts w:ascii="Times New Roman" w:hAnsi="Times New Roman" w:cs="Times New Roman"/>
          <w:color w:val="000000"/>
        </w:rPr>
      </w:pPr>
      <w:r>
        <w:rPr>
          <w:rFonts w:ascii="Times New Roman" w:hAnsi="Times New Roman" w:cs="Times New Roman"/>
          <w:b/>
        </w:rPr>
        <w:t>MADDE 13-</w:t>
      </w:r>
      <w:r>
        <w:rPr>
          <w:rFonts w:ascii="Times New Roman" w:hAnsi="Times New Roman" w:cs="Times New Roman"/>
        </w:rPr>
        <w:t xml:space="preserve"> a</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İntörnler</w:t>
      </w:r>
      <w:proofErr w:type="spellEnd"/>
      <w:r>
        <w:rPr>
          <w:rFonts w:ascii="Times New Roman" w:hAnsi="Times New Roman" w:cs="Times New Roman"/>
        </w:rPr>
        <w:t xml:space="preserve"> </w:t>
      </w:r>
      <w:proofErr w:type="spellStart"/>
      <w:r>
        <w:rPr>
          <w:rFonts w:ascii="Times New Roman" w:hAnsi="Times New Roman" w:cs="Times New Roman"/>
          <w:color w:val="000000"/>
        </w:rPr>
        <w:t>VEHİP’i</w:t>
      </w:r>
      <w:proofErr w:type="spellEnd"/>
      <w:r>
        <w:rPr>
          <w:rFonts w:ascii="Times New Roman" w:hAnsi="Times New Roman" w:cs="Times New Roman"/>
          <w:color w:val="000000"/>
        </w:rPr>
        <w:t xml:space="preserve"> başarılı bir şekilde tamamlamak için teorik derslerin en az %70’ine, uygulama derslerinin ise en az %80’ine devam etmek zorundadır. Devamsız öğrenciler, ilgili VEHİP dersinden devamsız sayılır ve mazeretleri dekanlık tarafından kabul edilmesi halinde belirlenen zamanda ilgili dersin telafisini yapar. Devamsız öğrenciler </w:t>
      </w:r>
      <w:proofErr w:type="spellStart"/>
      <w:r>
        <w:rPr>
          <w:rFonts w:ascii="Times New Roman" w:hAnsi="Times New Roman" w:cs="Times New Roman"/>
          <w:color w:val="000000"/>
        </w:rPr>
        <w:t>VEHİP’ten</w:t>
      </w:r>
      <w:proofErr w:type="spellEnd"/>
      <w:r>
        <w:rPr>
          <w:rFonts w:ascii="Times New Roman" w:hAnsi="Times New Roman" w:cs="Times New Roman"/>
          <w:color w:val="000000"/>
        </w:rPr>
        <w:t xml:space="preserve"> başarısız olmuş sayılır.</w:t>
      </w:r>
    </w:p>
    <w:p w:rsidR="007F5C4E" w:rsidRDefault="007F5C4E" w:rsidP="007F5C4E">
      <w:pPr>
        <w:jc w:val="both"/>
        <w:rPr>
          <w:rFonts w:ascii="Times New Roman" w:hAnsi="Times New Roman" w:cs="Times New Roman"/>
          <w:color w:val="000000"/>
        </w:rPr>
      </w:pPr>
      <w:r>
        <w:rPr>
          <w:rFonts w:ascii="Times New Roman" w:hAnsi="Times New Roman" w:cs="Times New Roman"/>
          <w:color w:val="000000"/>
        </w:rPr>
        <w:t xml:space="preserve">b)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ilgili birimlerin planladığı klinik ve/veya laboratuvar uygulamaları ile saha çalışması, seminer, dönem ödevi ve benzeri etkinlikleri yapmakla yükümlüdür. Her birim için etkinlik ya da etkinliklerin yapılıp yapılmadığı ilgili gün, hafta ya da haftalar için birim sorumlusu tarafından </w:t>
      </w:r>
      <w:proofErr w:type="spellStart"/>
      <w:r>
        <w:rPr>
          <w:rFonts w:ascii="Times New Roman" w:hAnsi="Times New Roman" w:cs="Times New Roman"/>
          <w:color w:val="000000"/>
        </w:rPr>
        <w:t>intörn</w:t>
      </w:r>
      <w:proofErr w:type="spellEnd"/>
      <w:r>
        <w:rPr>
          <w:rFonts w:ascii="Times New Roman" w:hAnsi="Times New Roman" w:cs="Times New Roman"/>
          <w:color w:val="000000"/>
        </w:rPr>
        <w:t xml:space="preserve"> karnesinde onaylanır. Bu etkinlik ya da etkinliklerin bir veya daha fazlasını yapmadığı belirlenen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birim öğretim elemanlarının gözetimi altında ilgili etkinlik ya da etkinlikleri yarıyıl sonu sınavlarından önce tamamlamak zorundadır. Aksi takdirde </w:t>
      </w:r>
      <w:proofErr w:type="spellStart"/>
      <w:r>
        <w:rPr>
          <w:rFonts w:ascii="Times New Roman" w:hAnsi="Times New Roman" w:cs="Times New Roman"/>
          <w:color w:val="000000"/>
        </w:rPr>
        <w:t>VEHİP’ten</w:t>
      </w:r>
      <w:proofErr w:type="spellEnd"/>
      <w:r>
        <w:rPr>
          <w:rFonts w:ascii="Times New Roman" w:hAnsi="Times New Roman" w:cs="Times New Roman"/>
          <w:color w:val="000000"/>
        </w:rPr>
        <w:t xml:space="preserve"> başarısız olmuş sayılır. </w:t>
      </w:r>
    </w:p>
    <w:p w:rsidR="007F5C4E" w:rsidRPr="006759D7" w:rsidRDefault="007F5C4E" w:rsidP="007F5C4E">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MADDE 14- </w:t>
      </w:r>
      <w:r>
        <w:rPr>
          <w:rFonts w:ascii="Times New Roman" w:hAnsi="Times New Roman" w:cs="Times New Roman"/>
          <w:color w:val="000000"/>
        </w:rPr>
        <w:t>VEHİP derslerinde ara sınav yapılmaz.</w:t>
      </w:r>
    </w:p>
    <w:p w:rsidR="007F5C4E" w:rsidRDefault="007F5C4E" w:rsidP="007F5C4E">
      <w:pPr>
        <w:ind w:left="1"/>
        <w:jc w:val="both"/>
        <w:rPr>
          <w:rFonts w:ascii="Times New Roman" w:hAnsi="Times New Roman" w:cs="Times New Roman"/>
          <w:color w:val="000000"/>
        </w:rPr>
      </w:pPr>
      <w:proofErr w:type="gramStart"/>
      <w:r>
        <w:rPr>
          <w:rFonts w:ascii="Times New Roman" w:hAnsi="Times New Roman" w:cs="Times New Roman"/>
          <w:color w:val="333333"/>
        </w:rPr>
        <w:lastRenderedPageBreak/>
        <w:t xml:space="preserve">a) </w:t>
      </w:r>
      <w:proofErr w:type="spellStart"/>
      <w:r>
        <w:rPr>
          <w:rFonts w:ascii="Times New Roman" w:hAnsi="Times New Roman" w:cs="Times New Roman"/>
          <w:color w:val="333333"/>
        </w:rPr>
        <w:t>İntörnlerin</w:t>
      </w:r>
      <w:proofErr w:type="spellEnd"/>
      <w:r>
        <w:rPr>
          <w:rFonts w:ascii="Times New Roman" w:hAnsi="Times New Roman" w:cs="Times New Roman"/>
          <w:color w:val="333333"/>
        </w:rPr>
        <w:t xml:space="preserve"> birimlerdeki derslerin </w:t>
      </w:r>
      <w:proofErr w:type="spellStart"/>
      <w:r>
        <w:rPr>
          <w:rFonts w:ascii="Times New Roman" w:hAnsi="Times New Roman" w:cs="Times New Roman"/>
          <w:color w:val="333333"/>
        </w:rPr>
        <w:t>intörn</w:t>
      </w:r>
      <w:proofErr w:type="spellEnd"/>
      <w:r>
        <w:rPr>
          <w:rFonts w:ascii="Times New Roman" w:hAnsi="Times New Roman" w:cs="Times New Roman"/>
          <w:color w:val="333333"/>
        </w:rPr>
        <w:t xml:space="preserve"> karnesinde belirtilen </w:t>
      </w:r>
      <w:r>
        <w:rPr>
          <w:rFonts w:ascii="Times New Roman" w:hAnsi="Times New Roman" w:cs="Times New Roman"/>
          <w:color w:val="000000"/>
        </w:rPr>
        <w:t xml:space="preserve">klinik ve/veya laboratuvar uygulamaları ile saha çalışması, seminer, dönem ödevi vb. etkinliklerinin ilgili öğretim üyesi değerlendirmesi ve verilen dersler için yapılan sözlü/yazılı/uygulama sınavlardan 100 tam puan üzerinden aldıkları puanların ders saatleri ağırlığı dikkate alınarak hesaplanmasından elde edilen notlar (Formül 1) toplanarak </w:t>
      </w:r>
      <w:proofErr w:type="spellStart"/>
      <w:r>
        <w:rPr>
          <w:rFonts w:ascii="Times New Roman" w:hAnsi="Times New Roman" w:cs="Times New Roman"/>
          <w:color w:val="000000"/>
        </w:rPr>
        <w:t>intörn</w:t>
      </w:r>
      <w:proofErr w:type="spellEnd"/>
      <w:r>
        <w:rPr>
          <w:rFonts w:ascii="Times New Roman" w:hAnsi="Times New Roman" w:cs="Times New Roman"/>
          <w:color w:val="000000"/>
        </w:rPr>
        <w:t xml:space="preserve"> başarı puanı belirlenir.</w:t>
      </w:r>
      <w:proofErr w:type="gramEnd"/>
    </w:p>
    <w:p w:rsidR="007F5C4E" w:rsidRDefault="007F5C4E" w:rsidP="007F5C4E">
      <w:pPr>
        <w:ind w:left="1"/>
        <w:jc w:val="both"/>
        <w:rPr>
          <w:rFonts w:ascii="Times New Roman" w:hAnsi="Times New Roman" w:cs="Times New Roman"/>
          <w:color w:val="000000"/>
        </w:rPr>
      </w:pPr>
      <w:r>
        <w:rPr>
          <w:rFonts w:ascii="Times New Roman" w:hAnsi="Times New Roman" w:cs="Times New Roman"/>
          <w:color w:val="000000"/>
        </w:rPr>
        <w:t xml:space="preserve">b) </w:t>
      </w:r>
      <w:proofErr w:type="spellStart"/>
      <w:r>
        <w:rPr>
          <w:rFonts w:ascii="Times New Roman" w:hAnsi="Times New Roman" w:cs="Times New Roman"/>
          <w:color w:val="000000"/>
        </w:rPr>
        <w:t>Ekstörn</w:t>
      </w:r>
      <w:proofErr w:type="spellEnd"/>
      <w:r>
        <w:rPr>
          <w:rFonts w:ascii="Times New Roman" w:hAnsi="Times New Roman" w:cs="Times New Roman"/>
          <w:color w:val="000000"/>
        </w:rPr>
        <w:t xml:space="preserve"> başarı notu olarak her bir </w:t>
      </w:r>
      <w:proofErr w:type="spellStart"/>
      <w:r>
        <w:rPr>
          <w:rFonts w:ascii="Times New Roman" w:hAnsi="Times New Roman" w:cs="Times New Roman"/>
          <w:color w:val="000000"/>
        </w:rPr>
        <w:t>ekstörn</w:t>
      </w:r>
      <w:proofErr w:type="spellEnd"/>
      <w:r>
        <w:rPr>
          <w:rFonts w:ascii="Times New Roman" w:hAnsi="Times New Roman" w:cs="Times New Roman"/>
          <w:color w:val="000000"/>
        </w:rPr>
        <w:t xml:space="preserve"> faaliyeti sonrasında,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tarafından hazırlanacak raporun birim yöneticisi tarafından değerlendirilmesi neticesinde her bir dersten 100 tam puan üzerinden verilen notların Dekanlıkta ortalaması alınarak </w:t>
      </w:r>
      <w:proofErr w:type="spellStart"/>
      <w:r>
        <w:rPr>
          <w:rFonts w:ascii="Times New Roman" w:hAnsi="Times New Roman" w:cs="Times New Roman"/>
          <w:color w:val="000000"/>
        </w:rPr>
        <w:t>ekstörnlük</w:t>
      </w:r>
      <w:proofErr w:type="spellEnd"/>
      <w:r>
        <w:rPr>
          <w:rFonts w:ascii="Times New Roman" w:hAnsi="Times New Roman" w:cs="Times New Roman"/>
          <w:color w:val="000000"/>
        </w:rPr>
        <w:t xml:space="preserve"> puanı hesap edilir. </w:t>
      </w:r>
    </w:p>
    <w:p w:rsidR="007F5C4E" w:rsidRDefault="007F5C4E" w:rsidP="007F5C4E">
      <w:pPr>
        <w:jc w:val="both"/>
        <w:rPr>
          <w:rFonts w:ascii="Times New Roman" w:hAnsi="Times New Roman" w:cs="Times New Roman"/>
          <w:color w:val="000000"/>
        </w:rPr>
      </w:pPr>
      <w:r>
        <w:rPr>
          <w:rFonts w:ascii="Times New Roman" w:hAnsi="Times New Roman" w:cs="Times New Roman"/>
          <w:color w:val="000000"/>
        </w:rPr>
        <w:t>Formül 1. Her bir ders puanının hesaplanması (</w:t>
      </w:r>
      <w:proofErr w:type="spellStart"/>
      <w:r>
        <w:rPr>
          <w:rFonts w:ascii="Times New Roman" w:hAnsi="Times New Roman" w:cs="Times New Roman"/>
          <w:color w:val="000000"/>
        </w:rPr>
        <w:t>intörn</w:t>
      </w:r>
      <w:proofErr w:type="spellEnd"/>
      <w:r>
        <w:rPr>
          <w:rFonts w:ascii="Times New Roman" w:hAnsi="Times New Roman" w:cs="Times New Roman"/>
          <w:color w:val="000000"/>
        </w:rPr>
        <w:t>)</w:t>
      </w:r>
    </w:p>
    <w:p w:rsidR="007F5C4E" w:rsidRPr="006759D7" w:rsidRDefault="007F5C4E" w:rsidP="007F5C4E">
      <w:pPr>
        <w:jc w:val="center"/>
        <w:rPr>
          <w:rFonts w:ascii="Times New Roman" w:hAnsi="Times New Roman" w:cs="Times New Roman"/>
          <w:b/>
        </w:rPr>
      </w:pPr>
      <w:r>
        <w:rPr>
          <w:rFonts w:ascii="Times New Roman" w:hAnsi="Times New Roman" w:cs="Times New Roman"/>
          <w:color w:val="000000"/>
        </w:rPr>
        <w:t xml:space="preserve">  </w:t>
      </w:r>
      <w:r>
        <w:rPr>
          <w:noProof/>
          <w:position w:val="-17"/>
          <w:lang w:eastAsia="tr-TR"/>
        </w:rPr>
        <w:drawing>
          <wp:inline distT="0" distB="0" distL="0" distR="0" wp14:anchorId="2EF3494D" wp14:editId="464FD9E7">
            <wp:extent cx="2581275" cy="2857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285750"/>
                    </a:xfrm>
                    <a:prstGeom prst="rect">
                      <a:avLst/>
                    </a:prstGeom>
                    <a:noFill/>
                    <a:ln>
                      <a:noFill/>
                    </a:ln>
                  </pic:spPr>
                </pic:pic>
              </a:graphicData>
            </a:graphic>
          </wp:inline>
        </w:drawing>
      </w:r>
    </w:p>
    <w:p w:rsidR="007F5C4E" w:rsidRDefault="007F5C4E" w:rsidP="007F5C4E">
      <w:pPr>
        <w:jc w:val="center"/>
        <w:rPr>
          <w:rFonts w:ascii="Times New Roman" w:hAnsi="Times New Roman" w:cs="Times New Roman"/>
          <w:b/>
        </w:rPr>
      </w:pPr>
      <w:r>
        <w:rPr>
          <w:rFonts w:ascii="Times New Roman" w:hAnsi="Times New Roman" w:cs="Times New Roman"/>
          <w:b/>
        </w:rPr>
        <w:t>ÜÇÜNCÜ BÖLÜM</w:t>
      </w:r>
    </w:p>
    <w:p w:rsidR="007F5C4E" w:rsidRDefault="007F5C4E" w:rsidP="007F5C4E">
      <w:pPr>
        <w:jc w:val="center"/>
        <w:rPr>
          <w:rFonts w:ascii="Times New Roman" w:hAnsi="Times New Roman" w:cs="Times New Roman"/>
          <w:b/>
        </w:rPr>
      </w:pPr>
      <w:proofErr w:type="spellStart"/>
      <w:r>
        <w:rPr>
          <w:rFonts w:ascii="Times New Roman" w:hAnsi="Times New Roman" w:cs="Times New Roman"/>
          <w:b/>
        </w:rPr>
        <w:t>İntörnlerin</w:t>
      </w:r>
      <w:proofErr w:type="spellEnd"/>
      <w:r>
        <w:rPr>
          <w:rFonts w:ascii="Times New Roman" w:hAnsi="Times New Roman" w:cs="Times New Roman"/>
          <w:b/>
        </w:rPr>
        <w:t xml:space="preserve"> Uymaları Gereken Kurallar</w:t>
      </w:r>
    </w:p>
    <w:p w:rsidR="007F5C4E" w:rsidRDefault="007F5C4E" w:rsidP="007F5C4E">
      <w:pPr>
        <w:jc w:val="both"/>
        <w:rPr>
          <w:rFonts w:ascii="Times New Roman" w:hAnsi="Times New Roman" w:cs="Times New Roman"/>
          <w:color w:val="000000"/>
        </w:rPr>
      </w:pPr>
      <w:r>
        <w:rPr>
          <w:rFonts w:ascii="Times New Roman" w:hAnsi="Times New Roman" w:cs="Times New Roman"/>
          <w:b/>
        </w:rPr>
        <w:t>MADDE 15-</w:t>
      </w:r>
      <w:r>
        <w:rPr>
          <w:rFonts w:ascii="Times New Roman" w:hAnsi="Times New Roman" w:cs="Times New Roman"/>
        </w:rPr>
        <w:t xml:space="preserve"> a</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çalışma süresince birimlerin belirlediği şekilde muayene önlüğü veya klinik takımı giymek ve yakasında kurumsal tanımlayıcı kimlik taşımak zorundadır.</w:t>
      </w:r>
    </w:p>
    <w:p w:rsidR="007F5C4E" w:rsidRDefault="007F5C4E" w:rsidP="007F5C4E">
      <w:pPr>
        <w:jc w:val="both"/>
        <w:rPr>
          <w:rFonts w:ascii="Times New Roman" w:hAnsi="Times New Roman" w:cs="Times New Roman"/>
          <w:color w:val="000000"/>
        </w:rPr>
      </w:pPr>
      <w:r>
        <w:rPr>
          <w:rFonts w:ascii="Times New Roman" w:hAnsi="Times New Roman" w:cs="Times New Roman"/>
          <w:color w:val="000000"/>
        </w:rPr>
        <w:t xml:space="preserve">b)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intörn</w:t>
      </w:r>
      <w:proofErr w:type="spellEnd"/>
      <w:r>
        <w:rPr>
          <w:rFonts w:ascii="Times New Roman" w:hAnsi="Times New Roman" w:cs="Times New Roman"/>
          <w:color w:val="000000"/>
        </w:rPr>
        <w:t xml:space="preserve"> karnelerinin birimlerde onaylatılmasından ve VEHİP bitiminde birim sorumluları aracılığıyla Dekanlığa iletilmesinden sorumludur.</w:t>
      </w:r>
    </w:p>
    <w:p w:rsidR="007F5C4E" w:rsidRDefault="007F5C4E" w:rsidP="007F5C4E">
      <w:pPr>
        <w:jc w:val="both"/>
        <w:rPr>
          <w:rFonts w:ascii="Times New Roman" w:hAnsi="Times New Roman" w:cs="Times New Roman"/>
          <w:color w:val="000000"/>
        </w:rPr>
      </w:pPr>
      <w:r>
        <w:rPr>
          <w:rFonts w:ascii="Times New Roman" w:hAnsi="Times New Roman" w:cs="Times New Roman"/>
          <w:color w:val="000000"/>
        </w:rPr>
        <w:t xml:space="preserve">c)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hasta sahiplerine kendisini “</w:t>
      </w:r>
      <w:proofErr w:type="spellStart"/>
      <w:r>
        <w:rPr>
          <w:rFonts w:ascii="Times New Roman" w:hAnsi="Times New Roman" w:cs="Times New Roman"/>
          <w:color w:val="000000"/>
        </w:rPr>
        <w:t>intörn</w:t>
      </w:r>
      <w:proofErr w:type="spellEnd"/>
      <w:r>
        <w:rPr>
          <w:rFonts w:ascii="Times New Roman" w:hAnsi="Times New Roman" w:cs="Times New Roman"/>
          <w:color w:val="000000"/>
        </w:rPr>
        <w:t xml:space="preserve"> öğrenci” olarak tanıtmalıdır.</w:t>
      </w:r>
    </w:p>
    <w:p w:rsidR="007F5C4E" w:rsidRDefault="007F5C4E" w:rsidP="007F5C4E">
      <w:pPr>
        <w:jc w:val="both"/>
        <w:rPr>
          <w:rFonts w:ascii="Times New Roman" w:hAnsi="Times New Roman" w:cs="Times New Roman"/>
          <w:color w:val="000000"/>
        </w:rPr>
      </w:pPr>
      <w:r>
        <w:rPr>
          <w:rFonts w:ascii="Times New Roman" w:hAnsi="Times New Roman" w:cs="Times New Roman"/>
          <w:color w:val="000000"/>
        </w:rPr>
        <w:t xml:space="preserve">ç)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VEHİP kapsamında ilgili birimlerde öğretim elemanlarının gözetimi altında, sorumluluğu kendisine verilen hastaların öyküsünü alır, muayenelerini ve takibini yapar.</w:t>
      </w:r>
    </w:p>
    <w:p w:rsidR="007F5C4E" w:rsidRDefault="007F5C4E" w:rsidP="007F5C4E">
      <w:pPr>
        <w:jc w:val="both"/>
        <w:rPr>
          <w:rFonts w:ascii="Times New Roman" w:hAnsi="Times New Roman" w:cs="Times New Roman"/>
          <w:color w:val="000000"/>
        </w:rPr>
      </w:pPr>
      <w:r>
        <w:rPr>
          <w:rFonts w:ascii="Times New Roman" w:hAnsi="Times New Roman" w:cs="Times New Roman"/>
          <w:color w:val="000000"/>
        </w:rPr>
        <w:t xml:space="preserve">d)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ilgili Kanun, Yönetmelik ve/veya Yönerge hükümlerine, birimlerin, hastanenin ve iç ve dış paydaş kurumların kurallarına uymak zorundadır.</w:t>
      </w:r>
    </w:p>
    <w:p w:rsidR="007F5C4E" w:rsidRPr="00AC2439" w:rsidRDefault="007F5C4E" w:rsidP="00AC2439">
      <w:pPr>
        <w:jc w:val="both"/>
        <w:rPr>
          <w:rFonts w:ascii="Times New Roman" w:hAnsi="Times New Roman" w:cs="Times New Roman"/>
          <w:color w:val="000000"/>
        </w:rPr>
      </w:pPr>
      <w:r>
        <w:rPr>
          <w:rFonts w:ascii="Times New Roman" w:hAnsi="Times New Roman" w:cs="Times New Roman"/>
          <w:color w:val="000000"/>
        </w:rPr>
        <w:t xml:space="preserve">e) </w:t>
      </w:r>
      <w:proofErr w:type="spellStart"/>
      <w:r>
        <w:rPr>
          <w:rFonts w:ascii="Times New Roman" w:hAnsi="Times New Roman" w:cs="Times New Roman"/>
          <w:color w:val="000000"/>
        </w:rPr>
        <w:t>İntörnlerden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intörn</w:t>
      </w:r>
      <w:proofErr w:type="spellEnd"/>
      <w:r>
        <w:rPr>
          <w:rFonts w:ascii="Times New Roman" w:hAnsi="Times New Roman" w:cs="Times New Roman"/>
          <w:color w:val="000000"/>
        </w:rPr>
        <w:t xml:space="preserve"> karnelerinde belirtilen uygulamaları öğrenmesi, bunlarla ilgili becerilerini geliştirmesi beklenir.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intörn</w:t>
      </w:r>
      <w:proofErr w:type="spellEnd"/>
      <w:r>
        <w:rPr>
          <w:rFonts w:ascii="Times New Roman" w:hAnsi="Times New Roman" w:cs="Times New Roman"/>
          <w:color w:val="000000"/>
        </w:rPr>
        <w:t xml:space="preserve"> karnelerinde belirtilen girişimleri ve faaliyetleri, öğretim elemanlarının gözetimi ve eşliğinde yapmalıdır. Hastalara yapılan girişimsel işlemle ilişkili ortaya çıkacak tüm </w:t>
      </w:r>
      <w:proofErr w:type="gramStart"/>
      <w:r>
        <w:rPr>
          <w:rFonts w:ascii="Times New Roman" w:hAnsi="Times New Roman" w:cs="Times New Roman"/>
          <w:color w:val="000000"/>
        </w:rPr>
        <w:t>komplikasyon</w:t>
      </w:r>
      <w:proofErr w:type="gramEnd"/>
      <w:r>
        <w:rPr>
          <w:rFonts w:ascii="Times New Roman" w:hAnsi="Times New Roman" w:cs="Times New Roman"/>
          <w:color w:val="000000"/>
        </w:rPr>
        <w:t xml:space="preserve"> ve sorunlardan ilgili birim öğretim elemanları sorumludur. İlgili öğretim elemanlarının bilgisi dışında yapılacak girişimlerin olumsuz sonuçları olduğu takdirde, </w:t>
      </w:r>
      <w:proofErr w:type="spellStart"/>
      <w:r>
        <w:rPr>
          <w:rFonts w:ascii="Times New Roman" w:hAnsi="Times New Roman" w:cs="Times New Roman"/>
          <w:color w:val="000000"/>
        </w:rPr>
        <w:t>intörnler</w:t>
      </w:r>
      <w:proofErr w:type="spellEnd"/>
      <w:r>
        <w:rPr>
          <w:rFonts w:ascii="Times New Roman" w:hAnsi="Times New Roman" w:cs="Times New Roman"/>
          <w:color w:val="000000"/>
        </w:rPr>
        <w:t xml:space="preserve"> hakkında 2547 Sayılı Kanun’a göre disiplin soruşturması açılabilir.</w:t>
      </w:r>
    </w:p>
    <w:p w:rsidR="007F5C4E" w:rsidRDefault="007F5C4E" w:rsidP="007F5C4E">
      <w:pPr>
        <w:jc w:val="center"/>
        <w:rPr>
          <w:rFonts w:ascii="Times New Roman" w:hAnsi="Times New Roman" w:cs="Times New Roman"/>
          <w:b/>
          <w:color w:val="000000"/>
        </w:rPr>
      </w:pPr>
      <w:r>
        <w:rPr>
          <w:rFonts w:ascii="Times New Roman" w:hAnsi="Times New Roman" w:cs="Times New Roman"/>
          <w:b/>
          <w:color w:val="000000"/>
        </w:rPr>
        <w:t>DÖRDÜNCÜ BÖLÜM</w:t>
      </w:r>
    </w:p>
    <w:p w:rsidR="007F5C4E" w:rsidRDefault="007F5C4E" w:rsidP="007F5C4E">
      <w:pPr>
        <w:jc w:val="center"/>
        <w:rPr>
          <w:rFonts w:ascii="Times New Roman" w:hAnsi="Times New Roman" w:cs="Times New Roman"/>
          <w:b/>
          <w:color w:val="000000"/>
        </w:rPr>
      </w:pPr>
      <w:r>
        <w:rPr>
          <w:rFonts w:ascii="Times New Roman" w:hAnsi="Times New Roman" w:cs="Times New Roman"/>
          <w:b/>
          <w:color w:val="000000"/>
        </w:rPr>
        <w:t>Çeşitli ve Son Hükümler</w:t>
      </w:r>
    </w:p>
    <w:p w:rsidR="007F5C4E" w:rsidRDefault="007F5C4E" w:rsidP="007F5C4E">
      <w:pPr>
        <w:jc w:val="both"/>
        <w:rPr>
          <w:rFonts w:ascii="Times New Roman" w:hAnsi="Times New Roman" w:cs="Times New Roman"/>
          <w:b/>
        </w:rPr>
      </w:pPr>
      <w:r>
        <w:rPr>
          <w:rFonts w:ascii="Times New Roman" w:hAnsi="Times New Roman" w:cs="Times New Roman"/>
          <w:b/>
        </w:rPr>
        <w:t xml:space="preserve">MADDE 16- </w:t>
      </w:r>
      <w:r>
        <w:rPr>
          <w:rFonts w:ascii="Times New Roman" w:hAnsi="Times New Roman" w:cs="Times New Roman"/>
          <w:color w:val="000000"/>
        </w:rPr>
        <w:t xml:space="preserve">Bu yönerge Fakültenin 2020 yılı ve sonrası müfredatına tâbi olan </w:t>
      </w:r>
      <w:proofErr w:type="spellStart"/>
      <w:r>
        <w:rPr>
          <w:rFonts w:ascii="Times New Roman" w:hAnsi="Times New Roman" w:cs="Times New Roman"/>
          <w:color w:val="000000"/>
        </w:rPr>
        <w:t>intörnleri</w:t>
      </w:r>
      <w:proofErr w:type="spellEnd"/>
      <w:r>
        <w:rPr>
          <w:rFonts w:ascii="Times New Roman" w:hAnsi="Times New Roman" w:cs="Times New Roman"/>
          <w:color w:val="000000"/>
        </w:rPr>
        <w:t xml:space="preserve"> kapsar.</w:t>
      </w:r>
    </w:p>
    <w:p w:rsidR="007F5C4E" w:rsidRDefault="007F5C4E" w:rsidP="007F5C4E">
      <w:pPr>
        <w:jc w:val="both"/>
        <w:rPr>
          <w:rFonts w:ascii="Times New Roman" w:hAnsi="Times New Roman" w:cs="Times New Roman"/>
          <w:b/>
        </w:rPr>
      </w:pPr>
      <w:r>
        <w:rPr>
          <w:rFonts w:ascii="Times New Roman" w:hAnsi="Times New Roman" w:cs="Times New Roman"/>
          <w:b/>
        </w:rPr>
        <w:t>Yürürlük</w:t>
      </w:r>
    </w:p>
    <w:p w:rsidR="007F5C4E" w:rsidRDefault="007F5C4E" w:rsidP="007F5C4E">
      <w:pPr>
        <w:jc w:val="both"/>
        <w:rPr>
          <w:rFonts w:ascii="Times New Roman" w:hAnsi="Times New Roman" w:cs="Times New Roman"/>
        </w:rPr>
      </w:pPr>
      <w:r>
        <w:rPr>
          <w:rFonts w:ascii="Times New Roman" w:hAnsi="Times New Roman" w:cs="Times New Roman"/>
          <w:b/>
        </w:rPr>
        <w:t>MADDE 17-</w:t>
      </w:r>
      <w:r>
        <w:rPr>
          <w:rFonts w:ascii="Times New Roman" w:hAnsi="Times New Roman" w:cs="Times New Roman"/>
        </w:rPr>
        <w:t xml:space="preserve"> Bu yönerge Üniversite Senatosu tarafından kabul edildiği tarihten itibaren yürürlüğe girer.</w:t>
      </w:r>
    </w:p>
    <w:p w:rsidR="007F5C4E" w:rsidRDefault="007F5C4E" w:rsidP="007F5C4E">
      <w:pPr>
        <w:jc w:val="both"/>
        <w:rPr>
          <w:rFonts w:ascii="Times New Roman" w:hAnsi="Times New Roman" w:cs="Times New Roman"/>
          <w:b/>
        </w:rPr>
      </w:pPr>
      <w:r>
        <w:rPr>
          <w:rFonts w:ascii="Times New Roman" w:hAnsi="Times New Roman" w:cs="Times New Roman"/>
          <w:b/>
        </w:rPr>
        <w:t>Yürütme</w:t>
      </w:r>
    </w:p>
    <w:p w:rsidR="00200ABC" w:rsidRPr="001F6845" w:rsidRDefault="007F5C4E" w:rsidP="001F6845">
      <w:pPr>
        <w:jc w:val="both"/>
        <w:rPr>
          <w:rFonts w:ascii="Times New Roman" w:hAnsi="Times New Roman" w:cs="Times New Roman"/>
        </w:rPr>
      </w:pPr>
      <w:r>
        <w:rPr>
          <w:rFonts w:ascii="Times New Roman" w:hAnsi="Times New Roman" w:cs="Times New Roman"/>
          <w:b/>
        </w:rPr>
        <w:t>MADDE 18-</w:t>
      </w:r>
      <w:r>
        <w:rPr>
          <w:rFonts w:ascii="Times New Roman" w:hAnsi="Times New Roman" w:cs="Times New Roman"/>
        </w:rPr>
        <w:t xml:space="preserve"> Bu Yönerge hükümleri Üniversite Rektörü tarafından yürütülür.</w:t>
      </w:r>
      <w:bookmarkStart w:id="0" w:name="_GoBack"/>
      <w:bookmarkEnd w:id="0"/>
    </w:p>
    <w:sectPr w:rsidR="00200ABC" w:rsidRPr="001F6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E2"/>
    <w:rsid w:val="001F6845"/>
    <w:rsid w:val="00200ABC"/>
    <w:rsid w:val="002F27E2"/>
    <w:rsid w:val="007F5C4E"/>
    <w:rsid w:val="00AC2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F5C4E"/>
    <w:pPr>
      <w:spacing w:after="0" w:line="240" w:lineRule="auto"/>
    </w:pPr>
    <w:rPr>
      <w:rFonts w:ascii="Calibri" w:eastAsia="Times New Roman" w:hAnsi="Calibri" w:cs="Times New Roman"/>
    </w:rPr>
  </w:style>
  <w:style w:type="character" w:customStyle="1" w:styleId="AralkYokChar">
    <w:name w:val="Aralık Yok Char"/>
    <w:link w:val="AralkYok"/>
    <w:uiPriority w:val="1"/>
    <w:locked/>
    <w:rsid w:val="007F5C4E"/>
    <w:rPr>
      <w:rFonts w:ascii="Calibri" w:eastAsia="Times New Roman" w:hAnsi="Calibri" w:cs="Times New Roman"/>
    </w:rPr>
  </w:style>
  <w:style w:type="table" w:styleId="TabloKlavuzu">
    <w:name w:val="Table Grid"/>
    <w:basedOn w:val="NormalTablo"/>
    <w:uiPriority w:val="39"/>
    <w:qFormat/>
    <w:rsid w:val="007F5C4E"/>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5C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F5C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F5C4E"/>
    <w:pPr>
      <w:spacing w:after="0" w:line="240" w:lineRule="auto"/>
    </w:pPr>
    <w:rPr>
      <w:rFonts w:ascii="Calibri" w:eastAsia="Times New Roman" w:hAnsi="Calibri" w:cs="Times New Roman"/>
    </w:rPr>
  </w:style>
  <w:style w:type="character" w:customStyle="1" w:styleId="AralkYokChar">
    <w:name w:val="Aralık Yok Char"/>
    <w:link w:val="AralkYok"/>
    <w:uiPriority w:val="1"/>
    <w:locked/>
    <w:rsid w:val="007F5C4E"/>
    <w:rPr>
      <w:rFonts w:ascii="Calibri" w:eastAsia="Times New Roman" w:hAnsi="Calibri" w:cs="Times New Roman"/>
    </w:rPr>
  </w:style>
  <w:style w:type="table" w:styleId="TabloKlavuzu">
    <w:name w:val="Table Grid"/>
    <w:basedOn w:val="NormalTablo"/>
    <w:uiPriority w:val="39"/>
    <w:qFormat/>
    <w:rsid w:val="007F5C4E"/>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5C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F5C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user19</cp:lastModifiedBy>
  <cp:revision>4</cp:revision>
  <dcterms:created xsi:type="dcterms:W3CDTF">2025-02-18T11:54:00Z</dcterms:created>
  <dcterms:modified xsi:type="dcterms:W3CDTF">2025-02-18T11:57:00Z</dcterms:modified>
</cp:coreProperties>
</file>